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872D" w14:textId="77777777" w:rsidR="006710A6" w:rsidRDefault="006710A6"/>
    <w:p w14:paraId="7B021FD8" w14:textId="1C8B216E" w:rsidR="005B0508" w:rsidRPr="005B0508" w:rsidRDefault="005B0508" w:rsidP="005B0508">
      <w:r w:rsidRPr="005B0508">
        <w:t>This document summari</w:t>
      </w:r>
      <w:r w:rsidR="00331A9D">
        <w:t>s</w:t>
      </w:r>
      <w:r w:rsidRPr="005B0508">
        <w:t>es the minutes of a SENDAP Board meeting focused on special education needs and disabilities (SEND) in Wakefield, covering inspection feedback, action plans, data reports, thematic discussions, and communication updates.</w:t>
      </w:r>
    </w:p>
    <w:p w14:paraId="6CC8E803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Key headlines</w:t>
      </w:r>
    </w:p>
    <w:p w14:paraId="7279ADF4" w14:textId="77777777" w:rsidR="000C66CA" w:rsidRPr="000C66CA" w:rsidRDefault="000C66CA" w:rsidP="000C66CA">
      <w:pPr>
        <w:numPr>
          <w:ilvl w:val="0"/>
          <w:numId w:val="1"/>
        </w:numPr>
      </w:pPr>
      <w:r w:rsidRPr="000C66CA">
        <w:rPr>
          <w:b/>
          <w:bCs/>
        </w:rPr>
        <w:t>Strong EHCP performance</w:t>
      </w:r>
      <w:r w:rsidRPr="000C66CA">
        <w:t xml:space="preserve"> with 100% issued within statutory timescales – the highest rate to date.</w:t>
      </w:r>
    </w:p>
    <w:p w14:paraId="41135503" w14:textId="77777777" w:rsidR="000C66CA" w:rsidRPr="000C66CA" w:rsidRDefault="000C66CA" w:rsidP="000C66CA">
      <w:pPr>
        <w:numPr>
          <w:ilvl w:val="0"/>
          <w:numId w:val="1"/>
        </w:numPr>
      </w:pPr>
      <w:r w:rsidRPr="000C66CA">
        <w:rPr>
          <w:b/>
          <w:bCs/>
        </w:rPr>
        <w:t>Sufficiency pressures remain</w:t>
      </w:r>
      <w:r w:rsidRPr="000C66CA">
        <w:t>, with continued reliance on out</w:t>
      </w:r>
      <w:r w:rsidRPr="000C66CA">
        <w:noBreakHyphen/>
        <w:t>of</w:t>
      </w:r>
      <w:r w:rsidRPr="000C66CA">
        <w:noBreakHyphen/>
        <w:t>district placements, but a clear phased strategy is progressing.</w:t>
      </w:r>
    </w:p>
    <w:p w14:paraId="1DB1392C" w14:textId="77777777" w:rsidR="000C66CA" w:rsidRPr="000C66CA" w:rsidRDefault="000C66CA" w:rsidP="000C66CA">
      <w:pPr>
        <w:numPr>
          <w:ilvl w:val="0"/>
          <w:numId w:val="1"/>
        </w:numPr>
      </w:pPr>
      <w:r w:rsidRPr="000C66CA">
        <w:rPr>
          <w:b/>
          <w:bCs/>
        </w:rPr>
        <w:t>Parent and carer feedback</w:t>
      </w:r>
      <w:r w:rsidRPr="000C66CA">
        <w:t xml:space="preserve"> highlights strengths in support services, alongside ongoing concerns around mainstream inclusion and wraparound care.</w:t>
      </w:r>
    </w:p>
    <w:p w14:paraId="2BD89F57" w14:textId="77777777" w:rsidR="0063653F" w:rsidRPr="0063653F" w:rsidRDefault="000C66CA" w:rsidP="000C66CA">
      <w:pPr>
        <w:numPr>
          <w:ilvl w:val="0"/>
          <w:numId w:val="1"/>
        </w:numPr>
        <w:rPr>
          <w:b/>
          <w:bCs/>
        </w:rPr>
      </w:pPr>
      <w:r w:rsidRPr="0063653F">
        <w:rPr>
          <w:b/>
          <w:bCs/>
        </w:rPr>
        <w:t>SEND Change Programme</w:t>
      </w:r>
      <w:r w:rsidRPr="000C66CA">
        <w:t xml:space="preserve"> entering its final year, with core functions (training, advice, delivery) now clearly defined.</w:t>
      </w:r>
    </w:p>
    <w:p w14:paraId="434B1C24" w14:textId="77777777" w:rsidR="0063653F" w:rsidRDefault="0063653F" w:rsidP="0063653F">
      <w:pPr>
        <w:ind w:left="720"/>
        <w:rPr>
          <w:b/>
          <w:bCs/>
        </w:rPr>
      </w:pPr>
    </w:p>
    <w:p w14:paraId="48660FAA" w14:textId="30658FD1" w:rsidR="000C66CA" w:rsidRPr="0063653F" w:rsidRDefault="000C66CA" w:rsidP="0063653F">
      <w:pPr>
        <w:rPr>
          <w:b/>
          <w:bCs/>
        </w:rPr>
      </w:pPr>
      <w:r w:rsidRPr="0063653F">
        <w:rPr>
          <w:b/>
          <w:bCs/>
        </w:rPr>
        <w:t>National and system context</w:t>
      </w:r>
    </w:p>
    <w:p w14:paraId="0E73C181" w14:textId="77777777" w:rsidR="000C66CA" w:rsidRPr="000C66CA" w:rsidRDefault="000C66CA" w:rsidP="000C66CA">
      <w:pPr>
        <w:numPr>
          <w:ilvl w:val="0"/>
          <w:numId w:val="2"/>
        </w:numPr>
      </w:pPr>
      <w:r w:rsidRPr="000C66CA">
        <w:t>SEND reform activity remains uncertain, with DfE testing expected in the autumn term and Ofsted training anticipated later in the year.</w:t>
      </w:r>
    </w:p>
    <w:p w14:paraId="09D3360D" w14:textId="77777777" w:rsidR="000C66CA" w:rsidRPr="000C66CA" w:rsidRDefault="000C66CA" w:rsidP="000C66CA">
      <w:pPr>
        <w:numPr>
          <w:ilvl w:val="0"/>
          <w:numId w:val="2"/>
        </w:numPr>
      </w:pPr>
      <w:r w:rsidRPr="000C66CA">
        <w:t>NHS system changes are expected from the end of July, with SEND</w:t>
      </w:r>
      <w:r w:rsidRPr="000C66CA">
        <w:noBreakHyphen/>
        <w:t>related duties transferring to providers; further clarification awaited on ICB responsibilities.</w:t>
      </w:r>
    </w:p>
    <w:p w14:paraId="06CD4F71" w14:textId="77777777" w:rsidR="000C66CA" w:rsidRPr="000C66CA" w:rsidRDefault="000C66CA" w:rsidP="000C66CA">
      <w:pPr>
        <w:numPr>
          <w:ilvl w:val="0"/>
          <w:numId w:val="2"/>
        </w:numPr>
      </w:pPr>
      <w:r w:rsidRPr="000C66CA">
        <w:t>Early Intervention work in Wakefield is showing stronger joint working between the local authority, NHS, and partners.</w:t>
      </w:r>
    </w:p>
    <w:p w14:paraId="0D6D56CE" w14:textId="33837B67" w:rsidR="000C66CA" w:rsidRPr="000C66CA" w:rsidRDefault="000C66CA" w:rsidP="000C66CA"/>
    <w:p w14:paraId="36A7CB84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Sufficiency and provision</w:t>
      </w:r>
    </w:p>
    <w:p w14:paraId="5E376702" w14:textId="77777777" w:rsidR="000C66CA" w:rsidRPr="000C66CA" w:rsidRDefault="000C66CA" w:rsidP="000C66CA">
      <w:pPr>
        <w:numPr>
          <w:ilvl w:val="0"/>
          <w:numId w:val="3"/>
        </w:numPr>
      </w:pPr>
      <w:r w:rsidRPr="000C66CA">
        <w:t>Wakefield’s current SEND sufficiency does not fully meet demand, resulting in out</w:t>
      </w:r>
      <w:r w:rsidRPr="000C66CA">
        <w:noBreakHyphen/>
        <w:t>of</w:t>
      </w:r>
      <w:r w:rsidRPr="000C66CA">
        <w:noBreakHyphen/>
        <w:t>district placements.</w:t>
      </w:r>
    </w:p>
    <w:p w14:paraId="0E77B2B0" w14:textId="77777777" w:rsidR="000C66CA" w:rsidRPr="000C66CA" w:rsidRDefault="000C66CA" w:rsidP="000C66CA">
      <w:pPr>
        <w:numPr>
          <w:ilvl w:val="0"/>
          <w:numId w:val="3"/>
        </w:numPr>
      </w:pPr>
      <w:r w:rsidRPr="000C66CA">
        <w:rPr>
          <w:b/>
          <w:bCs/>
        </w:rPr>
        <w:t>Phase 1 (pressure release)</w:t>
      </w:r>
      <w:r w:rsidRPr="000C66CA">
        <w:t xml:space="preserve"> focuses on increasing capacity closer to mainstream education, including integrated resource funding and enhancement of existing provision.</w:t>
      </w:r>
    </w:p>
    <w:p w14:paraId="210EC030" w14:textId="77777777" w:rsidR="000C66CA" w:rsidRPr="000C66CA" w:rsidRDefault="000C66CA" w:rsidP="000C66CA">
      <w:pPr>
        <w:numPr>
          <w:ilvl w:val="0"/>
          <w:numId w:val="3"/>
        </w:numPr>
      </w:pPr>
      <w:r w:rsidRPr="000C66CA">
        <w:rPr>
          <w:b/>
          <w:bCs/>
        </w:rPr>
        <w:lastRenderedPageBreak/>
        <w:t>Phase 2</w:t>
      </w:r>
      <w:r w:rsidRPr="000C66CA">
        <w:t xml:space="preserve"> proposes development of bespoke SEND provision, including primary and secondary satellite settings, and is being presented to Cabinet alongside a significant Early Help investment bid.</w:t>
      </w:r>
    </w:p>
    <w:p w14:paraId="4DEFB865" w14:textId="77777777" w:rsidR="000C66CA" w:rsidRPr="000C66CA" w:rsidRDefault="000C66CA" w:rsidP="000C66CA">
      <w:pPr>
        <w:numPr>
          <w:ilvl w:val="0"/>
          <w:numId w:val="3"/>
        </w:numPr>
      </w:pPr>
      <w:r w:rsidRPr="000C66CA">
        <w:t>£1m investment delivered through two rounds of the SEND Small Capital Scheme to increase mainstream capacity.</w:t>
      </w:r>
    </w:p>
    <w:p w14:paraId="0081D50F" w14:textId="77777777" w:rsidR="000C66CA" w:rsidRPr="000C66CA" w:rsidRDefault="000C66CA" w:rsidP="000C66CA">
      <w:pPr>
        <w:numPr>
          <w:ilvl w:val="0"/>
          <w:numId w:val="3"/>
        </w:numPr>
      </w:pPr>
      <w:r w:rsidRPr="000C66CA">
        <w:t>Targeted Task &amp; Finish Groups established for Oakfield Park, Pinderfields PRU, and Highwell.</w:t>
      </w:r>
    </w:p>
    <w:p w14:paraId="0FD7562D" w14:textId="5621EE97" w:rsidR="000C66CA" w:rsidRPr="000C66CA" w:rsidRDefault="000C66CA" w:rsidP="000C66CA"/>
    <w:p w14:paraId="5311B8E4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Performance overview</w:t>
      </w:r>
    </w:p>
    <w:p w14:paraId="69EEDF2D" w14:textId="77777777" w:rsidR="000C66CA" w:rsidRPr="000C66CA" w:rsidRDefault="000C66CA" w:rsidP="000C66CA">
      <w:pPr>
        <w:numPr>
          <w:ilvl w:val="0"/>
          <w:numId w:val="4"/>
        </w:numPr>
      </w:pPr>
      <w:r w:rsidRPr="000C66CA">
        <w:t xml:space="preserve">EHCP prevalence at </w:t>
      </w:r>
      <w:r w:rsidRPr="000C66CA">
        <w:rPr>
          <w:b/>
          <w:bCs/>
        </w:rPr>
        <w:t>5.35%</w:t>
      </w:r>
      <w:r w:rsidRPr="000C66CA">
        <w:t xml:space="preserve"> and SEN Support at </w:t>
      </w:r>
      <w:r w:rsidRPr="000C66CA">
        <w:rPr>
          <w:b/>
          <w:bCs/>
        </w:rPr>
        <w:t>14.51%</w:t>
      </w:r>
      <w:r w:rsidRPr="000C66CA">
        <w:t>, in line with statistical neighbours.</w:t>
      </w:r>
    </w:p>
    <w:p w14:paraId="0BF4A980" w14:textId="77777777" w:rsidR="000C66CA" w:rsidRPr="000C66CA" w:rsidRDefault="000C66CA" w:rsidP="000C66CA">
      <w:pPr>
        <w:numPr>
          <w:ilvl w:val="0"/>
          <w:numId w:val="4"/>
        </w:numPr>
      </w:pPr>
      <w:r w:rsidRPr="000C66CA">
        <w:t xml:space="preserve">Nearly </w:t>
      </w:r>
      <w:r w:rsidRPr="000C66CA">
        <w:rPr>
          <w:b/>
          <w:bCs/>
        </w:rPr>
        <w:t>4,030 EHCPs</w:t>
      </w:r>
      <w:r w:rsidRPr="000C66CA">
        <w:t xml:space="preserve"> in place (end of May), with consistently improving timeliness.</w:t>
      </w:r>
    </w:p>
    <w:p w14:paraId="44175968" w14:textId="77777777" w:rsidR="000C66CA" w:rsidRPr="000C66CA" w:rsidRDefault="000C66CA" w:rsidP="000C66CA">
      <w:pPr>
        <w:numPr>
          <w:ilvl w:val="0"/>
          <w:numId w:val="4"/>
        </w:numPr>
      </w:pPr>
      <w:r w:rsidRPr="000C66CA">
        <w:t xml:space="preserve">Annual Reviews averaging </w:t>
      </w:r>
      <w:r w:rsidRPr="000C66CA">
        <w:rPr>
          <w:b/>
          <w:bCs/>
        </w:rPr>
        <w:t>188 per month</w:t>
      </w:r>
      <w:r w:rsidRPr="000C66CA">
        <w:t>.</w:t>
      </w:r>
    </w:p>
    <w:p w14:paraId="4ECDD6AD" w14:textId="77777777" w:rsidR="000C66CA" w:rsidRPr="000C66CA" w:rsidRDefault="000C66CA" w:rsidP="000C66CA">
      <w:pPr>
        <w:numPr>
          <w:ilvl w:val="0"/>
          <w:numId w:val="4"/>
        </w:numPr>
      </w:pPr>
      <w:r w:rsidRPr="000C66CA">
        <w:t>Continued focus on reducing suspensions and preventing permanent exclusions.</w:t>
      </w:r>
    </w:p>
    <w:p w14:paraId="49B19A44" w14:textId="77777777" w:rsidR="000C66CA" w:rsidRPr="000C66CA" w:rsidRDefault="000C66CA" w:rsidP="000C66CA">
      <w:pPr>
        <w:numPr>
          <w:ilvl w:val="0"/>
          <w:numId w:val="4"/>
        </w:numPr>
      </w:pPr>
      <w:r w:rsidRPr="000C66CA">
        <w:t>Noted increases in Elective Home Education and ongoing SEND casework demand.</w:t>
      </w:r>
    </w:p>
    <w:p w14:paraId="3D78005D" w14:textId="23B2DD20" w:rsidR="000C66CA" w:rsidRPr="000C66CA" w:rsidRDefault="000C66CA" w:rsidP="000C66CA"/>
    <w:p w14:paraId="3FB2CB93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Parent and carer voice (PCF deep dive)</w:t>
      </w:r>
    </w:p>
    <w:p w14:paraId="49388D6F" w14:textId="77777777" w:rsidR="000C66CA" w:rsidRPr="000C66CA" w:rsidRDefault="000C66CA" w:rsidP="000C66CA">
      <w:r w:rsidRPr="000C66CA">
        <w:rPr>
          <w:b/>
          <w:bCs/>
        </w:rPr>
        <w:t>What’s working well</w:t>
      </w:r>
    </w:p>
    <w:p w14:paraId="1996BCA9" w14:textId="77777777" w:rsidR="000C66CA" w:rsidRPr="000C66CA" w:rsidRDefault="000C66CA" w:rsidP="000C66CA">
      <w:pPr>
        <w:numPr>
          <w:ilvl w:val="0"/>
          <w:numId w:val="5"/>
        </w:numPr>
      </w:pPr>
      <w:r w:rsidRPr="000C66CA">
        <w:t>Coffee mornings and events providing valued peer support.</w:t>
      </w:r>
    </w:p>
    <w:p w14:paraId="46D050FF" w14:textId="77777777" w:rsidR="000C66CA" w:rsidRPr="000C66CA" w:rsidRDefault="000C66CA" w:rsidP="000C66CA">
      <w:pPr>
        <w:numPr>
          <w:ilvl w:val="0"/>
          <w:numId w:val="5"/>
        </w:numPr>
      </w:pPr>
      <w:r w:rsidRPr="000C66CA">
        <w:t>High</w:t>
      </w:r>
      <w:r w:rsidRPr="000C66CA">
        <w:noBreakHyphen/>
        <w:t>quality professional reporting and advice (e.g. WISENDESS).</w:t>
      </w:r>
    </w:p>
    <w:p w14:paraId="40C029EB" w14:textId="77777777" w:rsidR="000C66CA" w:rsidRPr="000C66CA" w:rsidRDefault="000C66CA" w:rsidP="000C66CA">
      <w:pPr>
        <w:numPr>
          <w:ilvl w:val="0"/>
          <w:numId w:val="5"/>
        </w:numPr>
      </w:pPr>
      <w:r w:rsidRPr="000C66CA">
        <w:t>Positive experiences of transition support into adulthood.</w:t>
      </w:r>
    </w:p>
    <w:p w14:paraId="2714E9B3" w14:textId="77777777" w:rsidR="000C66CA" w:rsidRPr="000C66CA" w:rsidRDefault="000C66CA" w:rsidP="000C66CA">
      <w:r w:rsidRPr="000C66CA">
        <w:rPr>
          <w:b/>
          <w:bCs/>
        </w:rPr>
        <w:t>Areas for improvement</w:t>
      </w:r>
    </w:p>
    <w:p w14:paraId="68563CE2" w14:textId="77777777" w:rsidR="000C66CA" w:rsidRPr="000C66CA" w:rsidRDefault="000C66CA" w:rsidP="000C66CA">
      <w:pPr>
        <w:numPr>
          <w:ilvl w:val="0"/>
          <w:numId w:val="6"/>
        </w:numPr>
      </w:pPr>
      <w:r w:rsidRPr="000C66CA">
        <w:t>Greater consistency and inclusivity in mainstream schools, particularly at secondary level.</w:t>
      </w:r>
    </w:p>
    <w:p w14:paraId="4F6AA788" w14:textId="77777777" w:rsidR="000C66CA" w:rsidRPr="000C66CA" w:rsidRDefault="000C66CA" w:rsidP="000C66CA">
      <w:pPr>
        <w:numPr>
          <w:ilvl w:val="0"/>
          <w:numId w:val="6"/>
        </w:numPr>
      </w:pPr>
      <w:r w:rsidRPr="000C66CA">
        <w:t>Improved communication and review frequency within health services, especially around ADHD medication.</w:t>
      </w:r>
    </w:p>
    <w:p w14:paraId="49A9E8CB" w14:textId="77777777" w:rsidR="000C66CA" w:rsidRPr="000C66CA" w:rsidRDefault="000C66CA" w:rsidP="000C66CA">
      <w:pPr>
        <w:numPr>
          <w:ilvl w:val="0"/>
          <w:numId w:val="6"/>
        </w:numPr>
      </w:pPr>
      <w:r w:rsidRPr="000C66CA">
        <w:lastRenderedPageBreak/>
        <w:t>Insufficient wraparound and holiday childcare for children with SEND.</w:t>
      </w:r>
    </w:p>
    <w:p w14:paraId="16548C2A" w14:textId="1FD9E7F3" w:rsidR="000C66CA" w:rsidRPr="000C66CA" w:rsidRDefault="000C66CA" w:rsidP="000C66CA"/>
    <w:p w14:paraId="4491E79F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Change Programme – final year</w:t>
      </w:r>
    </w:p>
    <w:p w14:paraId="2C6F99BA" w14:textId="77777777" w:rsidR="000C66CA" w:rsidRPr="000C66CA" w:rsidRDefault="000C66CA" w:rsidP="000C66CA">
      <w:pPr>
        <w:numPr>
          <w:ilvl w:val="0"/>
          <w:numId w:val="7"/>
        </w:numPr>
      </w:pPr>
      <w:r w:rsidRPr="000C66CA">
        <w:t>Potential for additional CPP funding; programme governance and scrutiny strengthened.</w:t>
      </w:r>
    </w:p>
    <w:p w14:paraId="50693BAD" w14:textId="77777777" w:rsidR="000C66CA" w:rsidRPr="000C66CA" w:rsidRDefault="000C66CA" w:rsidP="000C66CA">
      <w:pPr>
        <w:numPr>
          <w:ilvl w:val="0"/>
          <w:numId w:val="7"/>
        </w:numPr>
      </w:pPr>
      <w:r w:rsidRPr="000C66CA">
        <w:t>Graduated Approach finalised and supporting resources (including videos) developed for schools, with plans for young</w:t>
      </w:r>
      <w:r w:rsidRPr="000C66CA">
        <w:noBreakHyphen/>
        <w:t>person</w:t>
      </w:r>
      <w:r w:rsidRPr="000C66CA">
        <w:noBreakHyphen/>
        <w:t>friendly content.</w:t>
      </w:r>
    </w:p>
    <w:p w14:paraId="70234425" w14:textId="77777777" w:rsidR="000C66CA" w:rsidRPr="000C66CA" w:rsidRDefault="000C66CA" w:rsidP="000C66CA">
      <w:pPr>
        <w:numPr>
          <w:ilvl w:val="0"/>
          <w:numId w:val="7"/>
        </w:numPr>
      </w:pPr>
      <w:r w:rsidRPr="000C66CA">
        <w:t>Progress continues across transitions pathways, SEMH pilot, AV1 Robots, APST, inclusion pilots, and EHE panel grants.</w:t>
      </w:r>
    </w:p>
    <w:p w14:paraId="13FA39A7" w14:textId="77777777" w:rsidR="000C66CA" w:rsidRPr="000C66CA" w:rsidRDefault="000C66CA" w:rsidP="000C66CA">
      <w:pPr>
        <w:numPr>
          <w:ilvl w:val="0"/>
          <w:numId w:val="7"/>
        </w:numPr>
      </w:pPr>
      <w:r w:rsidRPr="000C66CA">
        <w:t>Agreement to further explore development of a Local Inclusion Support Offer (LISO).</w:t>
      </w:r>
    </w:p>
    <w:p w14:paraId="0182790A" w14:textId="05A40828" w:rsidR="000C66CA" w:rsidRPr="000C66CA" w:rsidRDefault="000C66CA" w:rsidP="000C66CA"/>
    <w:p w14:paraId="056A1F0C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Agreed actions</w:t>
      </w:r>
    </w:p>
    <w:p w14:paraId="5335BB7E" w14:textId="77777777" w:rsidR="000C66CA" w:rsidRPr="000C66CA" w:rsidRDefault="000C66CA" w:rsidP="000C66CA">
      <w:pPr>
        <w:numPr>
          <w:ilvl w:val="0"/>
          <w:numId w:val="8"/>
        </w:numPr>
      </w:pPr>
      <w:r w:rsidRPr="000C66CA">
        <w:t>Share sufficiency presentation slides with Board members.</w:t>
      </w:r>
    </w:p>
    <w:p w14:paraId="4F66B596" w14:textId="77777777" w:rsidR="000C66CA" w:rsidRPr="000C66CA" w:rsidRDefault="000C66CA" w:rsidP="000C66CA">
      <w:pPr>
        <w:numPr>
          <w:ilvl w:val="0"/>
          <w:numId w:val="8"/>
        </w:numPr>
      </w:pPr>
      <w:r w:rsidRPr="000C66CA">
        <w:t>Co</w:t>
      </w:r>
      <w:r w:rsidRPr="000C66CA">
        <w:noBreakHyphen/>
        <w:t>produce a SEND sufficiency and system update newsletter with the Parent Carer Forum.</w:t>
      </w:r>
    </w:p>
    <w:p w14:paraId="325109CB" w14:textId="77777777" w:rsidR="000C66CA" w:rsidRPr="000C66CA" w:rsidRDefault="000C66CA" w:rsidP="000C66CA">
      <w:pPr>
        <w:numPr>
          <w:ilvl w:val="0"/>
          <w:numId w:val="8"/>
        </w:numPr>
      </w:pPr>
      <w:r w:rsidRPr="000C66CA">
        <w:t xml:space="preserve">Circulate Change Programme slides with embedded </w:t>
      </w:r>
      <w:proofErr w:type="spellStart"/>
      <w:r w:rsidRPr="000C66CA">
        <w:t>Mentimeter</w:t>
      </w:r>
      <w:proofErr w:type="spellEnd"/>
      <w:r w:rsidRPr="000C66CA">
        <w:t xml:space="preserve"> for Board feedback and bring learning back to the next meeting.</w:t>
      </w:r>
    </w:p>
    <w:p w14:paraId="69F18377" w14:textId="00D9A6D3" w:rsidR="000C66CA" w:rsidRPr="000C66CA" w:rsidRDefault="000C66CA" w:rsidP="000C66CA"/>
    <w:p w14:paraId="714D5A73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Forward look</w:t>
      </w:r>
    </w:p>
    <w:p w14:paraId="3F93CF09" w14:textId="77777777" w:rsidR="000C66CA" w:rsidRPr="000C66CA" w:rsidRDefault="000C66CA" w:rsidP="000C66CA">
      <w:pPr>
        <w:numPr>
          <w:ilvl w:val="0"/>
          <w:numId w:val="9"/>
        </w:numPr>
      </w:pPr>
      <w:r w:rsidRPr="000C66CA">
        <w:t>SEND conference planned for September; PINS conference in March (agenda development to begin).</w:t>
      </w:r>
    </w:p>
    <w:p w14:paraId="247A5D6B" w14:textId="77777777" w:rsidR="000C66CA" w:rsidRPr="000C66CA" w:rsidRDefault="000C66CA" w:rsidP="000C66CA">
      <w:pPr>
        <w:numPr>
          <w:ilvl w:val="0"/>
          <w:numId w:val="9"/>
        </w:numPr>
      </w:pPr>
      <w:r w:rsidRPr="000C66CA">
        <w:t>Continued development of the SENDAP forward plan for the next Board meeting.</w:t>
      </w:r>
    </w:p>
    <w:p w14:paraId="055EA0D9" w14:textId="38E19A49" w:rsidR="000C66CA" w:rsidRPr="000C66CA" w:rsidRDefault="000C66CA" w:rsidP="000C66CA"/>
    <w:p w14:paraId="1A4D698B" w14:textId="77777777" w:rsidR="000C66CA" w:rsidRPr="000C66CA" w:rsidRDefault="000C66CA" w:rsidP="000C66CA">
      <w:pPr>
        <w:rPr>
          <w:b/>
          <w:bCs/>
        </w:rPr>
      </w:pPr>
      <w:r w:rsidRPr="000C66CA">
        <w:rPr>
          <w:b/>
          <w:bCs/>
        </w:rPr>
        <w:t>Next meeting</w:t>
      </w:r>
    </w:p>
    <w:p w14:paraId="26D6C2A1" w14:textId="77777777" w:rsidR="000C66CA" w:rsidRPr="000C66CA" w:rsidRDefault="000C66CA" w:rsidP="000C66CA">
      <w:r w:rsidRPr="000C66CA">
        <w:rPr>
          <w:b/>
          <w:bCs/>
        </w:rPr>
        <w:t>Friday 3 October 2025, 10:00–12:00 (TBC)</w:t>
      </w:r>
    </w:p>
    <w:p w14:paraId="768581CB" w14:textId="77777777" w:rsidR="005B0508" w:rsidRDefault="005B0508"/>
    <w:sectPr w:rsidR="005B050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4392" w14:textId="77777777" w:rsidR="009E0012" w:rsidRDefault="009E0012" w:rsidP="005B0508">
      <w:pPr>
        <w:spacing w:after="0" w:line="240" w:lineRule="auto"/>
      </w:pPr>
      <w:r>
        <w:separator/>
      </w:r>
    </w:p>
  </w:endnote>
  <w:endnote w:type="continuationSeparator" w:id="0">
    <w:p w14:paraId="5A7C1DFC" w14:textId="77777777" w:rsidR="009E0012" w:rsidRDefault="009E0012" w:rsidP="005B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C02C" w14:textId="77777777" w:rsidR="009E0012" w:rsidRDefault="009E0012" w:rsidP="005B0508">
      <w:pPr>
        <w:spacing w:after="0" w:line="240" w:lineRule="auto"/>
      </w:pPr>
      <w:r>
        <w:separator/>
      </w:r>
    </w:p>
  </w:footnote>
  <w:footnote w:type="continuationSeparator" w:id="0">
    <w:p w14:paraId="55C90164" w14:textId="77777777" w:rsidR="009E0012" w:rsidRDefault="009E0012" w:rsidP="005B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A35C" w14:textId="6B51B1C3" w:rsidR="005B0508" w:rsidRDefault="005B05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D788E" wp14:editId="257D12EA">
              <wp:simplePos x="0" y="0"/>
              <wp:positionH relativeFrom="column">
                <wp:posOffset>-70485</wp:posOffset>
              </wp:positionH>
              <wp:positionV relativeFrom="paragraph">
                <wp:posOffset>-1905</wp:posOffset>
              </wp:positionV>
              <wp:extent cx="4775836" cy="1448972"/>
              <wp:effectExtent l="0" t="0" r="0" b="0"/>
              <wp:wrapNone/>
              <wp:docPr id="65848960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836" cy="14489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F5CF5" w14:textId="0B81DF79" w:rsidR="005B0508" w:rsidRPr="009720AB" w:rsidRDefault="005B0508" w:rsidP="005B0508">
                          <w:pPr>
                            <w:pStyle w:val="NoSpacing"/>
                            <w:rPr>
                              <w:rFonts w:ascii="Arial" w:eastAsiaTheme="majorEastAsia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Summary of </w:t>
                          </w:r>
                          <w:r w:rsidRPr="009720AB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Local Area SEND &amp; AP Strategic Partnership Board Meeting</w:t>
                          </w:r>
                          <w:r w:rsidRPr="009720AB">
                            <w:rPr>
                              <w:rStyle w:val="eop"/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5F8DDF8B" w14:textId="4797ACDD" w:rsidR="005B0508" w:rsidRPr="009720AB" w:rsidRDefault="005B0508" w:rsidP="005B0508">
                          <w:pPr>
                            <w:pStyle w:val="NoSpacing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720AB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Friday </w:t>
                          </w:r>
                          <w:r w:rsidR="000C66CA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18</w:t>
                          </w:r>
                          <w:r w:rsidR="000C66CA" w:rsidRPr="000C66CA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0C66CA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July 2025</w:t>
                          </w:r>
                          <w:r w:rsidRPr="009720AB">
                            <w:rPr>
                              <w:rStyle w:val="eop"/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60C5CEB5" w14:textId="118D5BB9" w:rsidR="005B0508" w:rsidRPr="009720AB" w:rsidRDefault="005B0508" w:rsidP="005B0508">
                          <w:pPr>
                            <w:pStyle w:val="NoSpacing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10</w:t>
                          </w:r>
                          <w:r w:rsidRPr="009720AB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0</w:t>
                          </w:r>
                          <w:r w:rsidRPr="009720AB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0am – 12.00 – </w:t>
                          </w:r>
                          <w:r w:rsidR="003239BE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Room </w:t>
                          </w:r>
                          <w:r w:rsidR="00F22E82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1, </w:t>
                          </w:r>
                          <w:proofErr w:type="spellStart"/>
                          <w:r w:rsidR="00F22E82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Chesneys</w:t>
                          </w:r>
                          <w:proofErr w:type="spellEnd"/>
                          <w:r w:rsidR="00F22E82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Centre, Featherstone</w:t>
                          </w:r>
                          <w:r w:rsidRPr="009720AB">
                            <w:rPr>
                              <w:rStyle w:val="normaltextrun"/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  <w:r w:rsidRPr="009720AB">
                            <w:rPr>
                              <w:rStyle w:val="eop"/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D78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55pt;margin-top:-.15pt;width:376.05pt;height:1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IvGAIAAC0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" filled="f" stroked="f" strokeweight=".5pt">
              <v:textbox>
                <w:txbxContent>
                  <w:p w14:paraId="21AF5CF5" w14:textId="0B81DF79" w:rsidR="005B0508" w:rsidRPr="009720AB" w:rsidRDefault="005B0508" w:rsidP="005B0508">
                    <w:pPr>
                      <w:pStyle w:val="NoSpacing"/>
                      <w:rPr>
                        <w:rFonts w:ascii="Arial" w:eastAsiaTheme="majorEastAsia" w:hAnsi="Arial" w:cs="Arial"/>
                        <w:sz w:val="24"/>
                        <w:szCs w:val="24"/>
                      </w:rPr>
                    </w:pPr>
                    <w:r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Summary of </w:t>
                    </w:r>
                    <w:r w:rsidRPr="009720AB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Local Area SEND &amp; AP Strategic Partnership Board Meeting</w:t>
                    </w:r>
                    <w:r w:rsidRPr="009720AB">
                      <w:rPr>
                        <w:rStyle w:val="eop"/>
                        <w:rFonts w:ascii="Arial" w:hAnsi="Arial" w:cs="Arial"/>
                        <w:color w:val="000000"/>
                        <w:sz w:val="24"/>
                        <w:szCs w:val="24"/>
                      </w:rPr>
                      <w:t> </w:t>
                    </w:r>
                  </w:p>
                  <w:p w14:paraId="5F8DDF8B" w14:textId="4797ACDD" w:rsidR="005B0508" w:rsidRPr="009720AB" w:rsidRDefault="005B0508" w:rsidP="005B0508">
                    <w:pPr>
                      <w:pStyle w:val="NoSpacing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720AB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Friday </w:t>
                    </w:r>
                    <w:r w:rsidR="000C66CA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18</w:t>
                    </w:r>
                    <w:r w:rsidR="000C66CA" w:rsidRPr="000C66CA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0C66CA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 July 2025</w:t>
                    </w:r>
                    <w:r w:rsidRPr="009720AB">
                      <w:rPr>
                        <w:rStyle w:val="eop"/>
                        <w:rFonts w:ascii="Arial" w:hAnsi="Arial" w:cs="Arial"/>
                        <w:color w:val="000000"/>
                        <w:sz w:val="24"/>
                        <w:szCs w:val="24"/>
                      </w:rPr>
                      <w:t> </w:t>
                    </w:r>
                  </w:p>
                  <w:p w14:paraId="60C5CEB5" w14:textId="118D5BB9" w:rsidR="005B0508" w:rsidRPr="009720AB" w:rsidRDefault="005B0508" w:rsidP="005B0508">
                    <w:pPr>
                      <w:pStyle w:val="NoSpacing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10</w:t>
                    </w:r>
                    <w:r w:rsidRPr="009720AB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0</w:t>
                    </w:r>
                    <w:r w:rsidRPr="009720AB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0am – 12.00 – </w:t>
                    </w:r>
                    <w:r w:rsidR="003239BE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Room </w:t>
                    </w:r>
                    <w:r w:rsidR="00F22E82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1, </w:t>
                    </w:r>
                    <w:proofErr w:type="spellStart"/>
                    <w:r w:rsidR="00F22E82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Chesneys</w:t>
                    </w:r>
                    <w:proofErr w:type="spellEnd"/>
                    <w:r w:rsidR="00F22E82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 Centre, Featherstone</w:t>
                    </w:r>
                    <w:r w:rsidRPr="009720AB">
                      <w:rPr>
                        <w:rStyle w:val="normaltextrun"/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 </w:t>
                    </w:r>
                    <w:r w:rsidRPr="009720AB">
                      <w:rPr>
                        <w:rStyle w:val="eop"/>
                        <w:rFonts w:ascii="Arial" w:hAnsi="Arial" w:cs="Arial"/>
                        <w:color w:val="000000"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8354DF" wp14:editId="0360BD2C">
          <wp:extent cx="5731510" cy="1265096"/>
          <wp:effectExtent l="0" t="0" r="2540" b="0"/>
          <wp:docPr id="663658617" name="Picture 1" descr="A green square with a white bord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344776" name="Picture 1" descr="A green square with a white bord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65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7D5D"/>
    <w:multiLevelType w:val="multilevel"/>
    <w:tmpl w:val="550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3546"/>
    <w:multiLevelType w:val="multilevel"/>
    <w:tmpl w:val="D7FC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B64E7"/>
    <w:multiLevelType w:val="multilevel"/>
    <w:tmpl w:val="6A7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7789B"/>
    <w:multiLevelType w:val="multilevel"/>
    <w:tmpl w:val="414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A5974"/>
    <w:multiLevelType w:val="multilevel"/>
    <w:tmpl w:val="19E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B1B20"/>
    <w:multiLevelType w:val="multilevel"/>
    <w:tmpl w:val="BBC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44DE"/>
    <w:multiLevelType w:val="multilevel"/>
    <w:tmpl w:val="6128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3383A"/>
    <w:multiLevelType w:val="multilevel"/>
    <w:tmpl w:val="819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DB7"/>
    <w:multiLevelType w:val="multilevel"/>
    <w:tmpl w:val="6EE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80030">
    <w:abstractNumId w:val="3"/>
  </w:num>
  <w:num w:numId="2" w16cid:durableId="1551502793">
    <w:abstractNumId w:val="8"/>
  </w:num>
  <w:num w:numId="3" w16cid:durableId="1902402156">
    <w:abstractNumId w:val="0"/>
  </w:num>
  <w:num w:numId="4" w16cid:durableId="357392498">
    <w:abstractNumId w:val="5"/>
  </w:num>
  <w:num w:numId="5" w16cid:durableId="426660557">
    <w:abstractNumId w:val="6"/>
  </w:num>
  <w:num w:numId="6" w16cid:durableId="711461464">
    <w:abstractNumId w:val="4"/>
  </w:num>
  <w:num w:numId="7" w16cid:durableId="324476671">
    <w:abstractNumId w:val="2"/>
  </w:num>
  <w:num w:numId="8" w16cid:durableId="69012447">
    <w:abstractNumId w:val="7"/>
  </w:num>
  <w:num w:numId="9" w16cid:durableId="112481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08"/>
    <w:rsid w:val="00002B7A"/>
    <w:rsid w:val="000C66CA"/>
    <w:rsid w:val="000D0F79"/>
    <w:rsid w:val="000F2BB6"/>
    <w:rsid w:val="001C5D9D"/>
    <w:rsid w:val="002D5A37"/>
    <w:rsid w:val="003239BE"/>
    <w:rsid w:val="00331A9D"/>
    <w:rsid w:val="00436203"/>
    <w:rsid w:val="005B0508"/>
    <w:rsid w:val="0061146C"/>
    <w:rsid w:val="0063653F"/>
    <w:rsid w:val="006710A6"/>
    <w:rsid w:val="006F28A8"/>
    <w:rsid w:val="00835803"/>
    <w:rsid w:val="00837722"/>
    <w:rsid w:val="00890109"/>
    <w:rsid w:val="008E64E5"/>
    <w:rsid w:val="009C1AF7"/>
    <w:rsid w:val="009E0012"/>
    <w:rsid w:val="009E6A89"/>
    <w:rsid w:val="00A840A1"/>
    <w:rsid w:val="00AD1A7A"/>
    <w:rsid w:val="00DE56EC"/>
    <w:rsid w:val="00DF15AB"/>
    <w:rsid w:val="00DF402C"/>
    <w:rsid w:val="00F2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84D45"/>
  <w15:chartTrackingRefBased/>
  <w15:docId w15:val="{17B73BD0-B475-4A92-AA45-741C0CCD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08"/>
  </w:style>
  <w:style w:type="paragraph" w:styleId="Footer">
    <w:name w:val="footer"/>
    <w:basedOn w:val="Normal"/>
    <w:link w:val="FooterChar"/>
    <w:uiPriority w:val="99"/>
    <w:unhideWhenUsed/>
    <w:rsid w:val="005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08"/>
  </w:style>
  <w:style w:type="character" w:customStyle="1" w:styleId="normaltextrun">
    <w:name w:val="normaltextrun"/>
    <w:basedOn w:val="DefaultParagraphFont"/>
    <w:rsid w:val="005B0508"/>
  </w:style>
  <w:style w:type="character" w:customStyle="1" w:styleId="eop">
    <w:name w:val="eop"/>
    <w:basedOn w:val="DefaultParagraphFont"/>
    <w:rsid w:val="005B0508"/>
  </w:style>
  <w:style w:type="paragraph" w:styleId="NoSpacing">
    <w:name w:val="No Spacing"/>
    <w:uiPriority w:val="1"/>
    <w:qFormat/>
    <w:rsid w:val="005B0508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B0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521</Words>
  <Characters>3269</Characters>
  <Application>Microsoft Office Word</Application>
  <DocSecurity>0</DocSecurity>
  <Lines>57</Lines>
  <Paragraphs>18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Armstrong</dc:creator>
  <cp:keywords/>
  <dc:description/>
  <cp:lastModifiedBy>Julie Armstrong</cp:lastModifiedBy>
  <cp:revision>7</cp:revision>
  <dcterms:created xsi:type="dcterms:W3CDTF">2026-05-11T16:08:00Z</dcterms:created>
  <dcterms:modified xsi:type="dcterms:W3CDTF">2026-05-11T16:31:00Z</dcterms:modified>
</cp:coreProperties>
</file>