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7" w:rsidRPr="00E71C17" w:rsidRDefault="00C47192" w:rsidP="00E71C17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BESPOKE </w:t>
      </w:r>
      <w:r w:rsidR="00E71C17" w:rsidRPr="00E71C17">
        <w:rPr>
          <w:rFonts w:ascii="Arial" w:hAnsi="Arial" w:cs="Arial"/>
          <w:b/>
        </w:rPr>
        <w:t>CHILDCARE FUNDING – GUIDANCE</w:t>
      </w:r>
    </w:p>
    <w:p w:rsidR="00E71C17" w:rsidRPr="00E71C17" w:rsidRDefault="00E71C17" w:rsidP="00E71C17">
      <w:pPr>
        <w:rPr>
          <w:rFonts w:ascii="Arial" w:hAnsi="Arial" w:cs="Arial"/>
        </w:rPr>
      </w:pPr>
    </w:p>
    <w:p w:rsidR="00E71C17" w:rsidRDefault="00E71C17" w:rsidP="00E71C17">
      <w:pPr>
        <w:rPr>
          <w:rFonts w:ascii="Arial" w:hAnsi="Arial" w:cs="Arial"/>
        </w:rPr>
      </w:pPr>
      <w:r w:rsidRPr="00E71C17">
        <w:rPr>
          <w:rFonts w:ascii="Arial" w:hAnsi="Arial" w:cs="Arial"/>
        </w:rPr>
        <w:t xml:space="preserve">The </w:t>
      </w:r>
      <w:r w:rsidR="00C47192">
        <w:rPr>
          <w:rFonts w:ascii="Arial" w:hAnsi="Arial" w:cs="Arial"/>
        </w:rPr>
        <w:t xml:space="preserve">Bespoke </w:t>
      </w:r>
      <w:r w:rsidRPr="00E71C17">
        <w:rPr>
          <w:rFonts w:ascii="Arial" w:hAnsi="Arial" w:cs="Arial"/>
        </w:rPr>
        <w:t xml:space="preserve">Childcare funding is used to </w:t>
      </w:r>
      <w:r w:rsidR="00212769">
        <w:rPr>
          <w:rFonts w:ascii="Arial" w:hAnsi="Arial" w:cs="Arial"/>
        </w:rPr>
        <w:t xml:space="preserve">provide </w:t>
      </w:r>
      <w:proofErr w:type="gramStart"/>
      <w:r w:rsidR="00212769">
        <w:rPr>
          <w:rFonts w:ascii="Arial" w:hAnsi="Arial" w:cs="Arial"/>
        </w:rPr>
        <w:t>childcare  for</w:t>
      </w:r>
      <w:proofErr w:type="gramEnd"/>
      <w:r w:rsidR="00212769">
        <w:rPr>
          <w:rFonts w:ascii="Arial" w:hAnsi="Arial" w:cs="Arial"/>
        </w:rPr>
        <w:t xml:space="preserve"> </w:t>
      </w:r>
      <w:r w:rsidRPr="00E71C17">
        <w:rPr>
          <w:rFonts w:ascii="Arial" w:hAnsi="Arial" w:cs="Arial"/>
        </w:rPr>
        <w:t>children with significant special educational needs and disabilities (SEND) so that their parents/carers are able to access childcare whilst they are working</w:t>
      </w:r>
      <w:r w:rsidR="00CD0176">
        <w:rPr>
          <w:rFonts w:ascii="Arial" w:hAnsi="Arial" w:cs="Arial"/>
        </w:rPr>
        <w:t>. This funding provides support for those children/young people who are, typically, too old for mainstream childcare o</w:t>
      </w:r>
      <w:r w:rsidR="00EE1DBC">
        <w:rPr>
          <w:rFonts w:ascii="Arial" w:hAnsi="Arial" w:cs="Arial"/>
        </w:rPr>
        <w:t>p</w:t>
      </w:r>
      <w:r w:rsidR="00CD0176">
        <w:rPr>
          <w:rFonts w:ascii="Arial" w:hAnsi="Arial" w:cs="Arial"/>
        </w:rPr>
        <w:t xml:space="preserve">tions, or who have severe SEND such that a mainstream childcare option is unable to meet needs. </w:t>
      </w:r>
      <w:r w:rsidR="006A0C22">
        <w:rPr>
          <w:rFonts w:ascii="Arial" w:hAnsi="Arial" w:cs="Arial"/>
        </w:rPr>
        <w:t xml:space="preserve">Therefore they </w:t>
      </w:r>
      <w:r w:rsidR="00337509">
        <w:rPr>
          <w:rFonts w:ascii="Arial" w:hAnsi="Arial" w:cs="Arial"/>
        </w:rPr>
        <w:t>cannot access any other form of childcare provision</w:t>
      </w:r>
      <w:r w:rsidRPr="00E71C17">
        <w:rPr>
          <w:rFonts w:ascii="Arial" w:hAnsi="Arial" w:cs="Arial"/>
        </w:rPr>
        <w:t xml:space="preserve">.  </w:t>
      </w:r>
    </w:p>
    <w:p w:rsidR="00E71C17" w:rsidRPr="00E71C17" w:rsidRDefault="00E71C17" w:rsidP="00E71C17">
      <w:pPr>
        <w:rPr>
          <w:rFonts w:ascii="Arial" w:hAnsi="Arial" w:cs="Arial"/>
        </w:rPr>
      </w:pPr>
    </w:p>
    <w:p w:rsidR="00E71C17" w:rsidRPr="00E71C17" w:rsidRDefault="00E71C17" w:rsidP="00E71C17">
      <w:pPr>
        <w:rPr>
          <w:rFonts w:ascii="Arial" w:hAnsi="Arial" w:cs="Arial"/>
        </w:rPr>
      </w:pPr>
      <w:r w:rsidRPr="00E71C17">
        <w:rPr>
          <w:rFonts w:ascii="Arial" w:hAnsi="Arial" w:cs="Arial"/>
        </w:rPr>
        <w:t xml:space="preserve">Following the implementation of the SEND reforms in September 2014, all applications for, and amendments to, </w:t>
      </w:r>
      <w:r w:rsidR="00337509">
        <w:rPr>
          <w:rFonts w:ascii="Arial" w:hAnsi="Arial" w:cs="Arial"/>
        </w:rPr>
        <w:t xml:space="preserve">Bespoke </w:t>
      </w:r>
      <w:r w:rsidRPr="00E71C17">
        <w:rPr>
          <w:rFonts w:ascii="Arial" w:hAnsi="Arial" w:cs="Arial"/>
        </w:rPr>
        <w:t xml:space="preserve">Childcare </w:t>
      </w:r>
      <w:r w:rsidR="00CD0176">
        <w:rPr>
          <w:rFonts w:ascii="Arial" w:hAnsi="Arial" w:cs="Arial"/>
        </w:rPr>
        <w:t>F</w:t>
      </w:r>
      <w:r w:rsidRPr="00E71C17">
        <w:rPr>
          <w:rFonts w:ascii="Arial" w:hAnsi="Arial" w:cs="Arial"/>
        </w:rPr>
        <w:t>unding will be agreed through the Wakefield Education, Health and Care Panel. The panel meets weekly and makes all decision</w:t>
      </w:r>
      <w:r w:rsidR="00394577">
        <w:rPr>
          <w:rFonts w:ascii="Arial" w:hAnsi="Arial" w:cs="Arial"/>
        </w:rPr>
        <w:t>s</w:t>
      </w:r>
      <w:r w:rsidRPr="00E71C17">
        <w:rPr>
          <w:rFonts w:ascii="Arial" w:hAnsi="Arial" w:cs="Arial"/>
        </w:rPr>
        <w:t xml:space="preserve"> regarding the support for children with Education, Health and Care plans.</w:t>
      </w:r>
    </w:p>
    <w:p w:rsidR="00E71C17" w:rsidRDefault="00CD0176" w:rsidP="00E71C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this group of children, the Family Information </w:t>
      </w:r>
      <w:r w:rsidR="00CA56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ervice (FIS) will make the referral following exploration of all other options to provide childcare through mainstream options. </w:t>
      </w:r>
    </w:p>
    <w:p w:rsidR="006A0C22" w:rsidRPr="00E71C17" w:rsidRDefault="006A0C22" w:rsidP="00E71C17">
      <w:pPr>
        <w:rPr>
          <w:rFonts w:ascii="Arial" w:hAnsi="Arial" w:cs="Arial"/>
        </w:rPr>
      </w:pPr>
    </w:p>
    <w:p w:rsidR="00E71C17" w:rsidRDefault="00E71C17" w:rsidP="00E71C17">
      <w:pPr>
        <w:rPr>
          <w:rFonts w:ascii="Arial" w:hAnsi="Arial" w:cs="Arial"/>
        </w:rPr>
      </w:pPr>
      <w:r w:rsidRPr="00E71C17">
        <w:rPr>
          <w:rFonts w:ascii="Arial" w:hAnsi="Arial" w:cs="Arial"/>
        </w:rPr>
        <w:t xml:space="preserve">If the funding is agreed this will be paid at the Local Authority agreed rate up to a maximum of 384 hours for a financial year, pro-rata dependent on the month funding was agreed. On average this would be up to 7.5 hours per week for out of school childcare including during school holidays. </w:t>
      </w:r>
    </w:p>
    <w:p w:rsidR="00CD0176" w:rsidRDefault="00CD0176" w:rsidP="00E71C17">
      <w:pPr>
        <w:rPr>
          <w:rFonts w:ascii="Arial" w:hAnsi="Arial" w:cs="Arial"/>
        </w:rPr>
      </w:pPr>
    </w:p>
    <w:p w:rsidR="00CD0176" w:rsidRDefault="00CD0176" w:rsidP="00E71C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funding </w:t>
      </w:r>
      <w:r w:rsidR="003E71C4">
        <w:rPr>
          <w:rFonts w:ascii="Arial" w:hAnsi="Arial" w:cs="Arial"/>
        </w:rPr>
        <w:t xml:space="preserve">agreed will </w:t>
      </w:r>
      <w:proofErr w:type="gramStart"/>
      <w:r w:rsidR="003E71C4">
        <w:rPr>
          <w:rFonts w:ascii="Arial" w:hAnsi="Arial" w:cs="Arial"/>
        </w:rPr>
        <w:t xml:space="preserve">reflect </w:t>
      </w:r>
      <w:r>
        <w:rPr>
          <w:rFonts w:ascii="Arial" w:hAnsi="Arial" w:cs="Arial"/>
        </w:rPr>
        <w:t xml:space="preserve"> the</w:t>
      </w:r>
      <w:proofErr w:type="gramEnd"/>
      <w:r>
        <w:rPr>
          <w:rFonts w:ascii="Arial" w:hAnsi="Arial" w:cs="Arial"/>
        </w:rPr>
        <w:t xml:space="preserve"> necessity to provide a unique and </w:t>
      </w:r>
      <w:proofErr w:type="spellStart"/>
      <w:r>
        <w:rPr>
          <w:rFonts w:ascii="Arial" w:hAnsi="Arial" w:cs="Arial"/>
        </w:rPr>
        <w:t>indivualised</w:t>
      </w:r>
      <w:proofErr w:type="spellEnd"/>
      <w:r>
        <w:rPr>
          <w:rFonts w:ascii="Arial" w:hAnsi="Arial" w:cs="Arial"/>
        </w:rPr>
        <w:t xml:space="preserve"> bespoke response to the provision of childcare</w:t>
      </w:r>
      <w:r w:rsidR="003E71C4">
        <w:rPr>
          <w:rFonts w:ascii="Arial" w:hAnsi="Arial" w:cs="Arial"/>
        </w:rPr>
        <w:t xml:space="preserve"> and be set by the Local Authority</w:t>
      </w:r>
      <w:r>
        <w:rPr>
          <w:rFonts w:ascii="Arial" w:hAnsi="Arial" w:cs="Arial"/>
        </w:rPr>
        <w:t xml:space="preserve">. </w:t>
      </w:r>
    </w:p>
    <w:p w:rsidR="00E71C17" w:rsidRPr="00E71C17" w:rsidRDefault="00E71C17" w:rsidP="00E71C17">
      <w:pPr>
        <w:rPr>
          <w:rFonts w:ascii="Arial" w:hAnsi="Arial" w:cs="Arial"/>
        </w:rPr>
      </w:pPr>
    </w:p>
    <w:p w:rsidR="00E71C17" w:rsidRPr="00E71C17" w:rsidRDefault="00E71C17" w:rsidP="00E71C17">
      <w:pPr>
        <w:rPr>
          <w:rFonts w:ascii="Arial" w:hAnsi="Arial" w:cs="Arial"/>
          <w:b/>
        </w:rPr>
      </w:pPr>
    </w:p>
    <w:p w:rsidR="00E71C17" w:rsidRPr="00E71C17" w:rsidRDefault="00E71C17" w:rsidP="00E71C17">
      <w:pPr>
        <w:rPr>
          <w:rFonts w:ascii="Arial" w:hAnsi="Arial" w:cs="Arial"/>
          <w:b/>
        </w:rPr>
      </w:pPr>
      <w:r w:rsidRPr="00E71C17">
        <w:rPr>
          <w:rFonts w:ascii="Arial" w:hAnsi="Arial" w:cs="Arial"/>
          <w:b/>
        </w:rPr>
        <w:t>PROCEDURE FOR REFERRAL</w:t>
      </w:r>
    </w:p>
    <w:p w:rsidR="00E71C17" w:rsidRPr="00E71C17" w:rsidRDefault="00E71C17" w:rsidP="00E71C17">
      <w:pPr>
        <w:rPr>
          <w:rFonts w:ascii="Arial" w:hAnsi="Arial" w:cs="Arial"/>
        </w:rPr>
      </w:pPr>
    </w:p>
    <w:p w:rsidR="00337509" w:rsidRDefault="00337509" w:rsidP="0033750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Information Service (FIS) to support the family in accessing and considering mainstream childcare provision, potentially accessing Childcare Inclusion Funding (see Childcare Inclusion Funding guidance document). </w:t>
      </w:r>
    </w:p>
    <w:p w:rsidR="00E71C17" w:rsidRPr="00337509" w:rsidRDefault="00337509" w:rsidP="0033750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once FIS have been able to work with the family to establish that providers are unable to meet the child’s needs, even with a potential referral for, or previous access of, Childcare Inclusion Funding, will FIS make a referral to the EHC Panel for consideration of Bespoke Childcare Funding. </w:t>
      </w:r>
    </w:p>
    <w:p w:rsidR="00E71C17" w:rsidRPr="00E71C17" w:rsidRDefault="00337509" w:rsidP="00E71C1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 will provide a summary to be sent to SENART for attention of the EHC Panel to consider Bespoke Childcare Funding</w:t>
      </w:r>
      <w:r w:rsidR="00E71C17" w:rsidRPr="00E71C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will include a summary of interventions tried and advice received.</w:t>
      </w:r>
      <w:r w:rsidR="00E71C17" w:rsidRPr="00E71C17">
        <w:rPr>
          <w:rFonts w:ascii="Arial" w:hAnsi="Arial" w:cs="Arial"/>
          <w:sz w:val="24"/>
          <w:szCs w:val="24"/>
        </w:rPr>
        <w:t xml:space="preserve"> </w:t>
      </w:r>
    </w:p>
    <w:p w:rsidR="00E71C17" w:rsidRPr="009E442D" w:rsidRDefault="00E71C17" w:rsidP="00E71C1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71C17">
        <w:rPr>
          <w:rFonts w:ascii="Arial" w:hAnsi="Arial" w:cs="Arial"/>
          <w:sz w:val="24"/>
          <w:szCs w:val="24"/>
        </w:rPr>
        <w:t xml:space="preserve">The request form is sent to the Special Educational Needs Assessment and Review Team (SENART).  If the request is not complete, it will be returned for </w:t>
      </w:r>
      <w:r w:rsidRPr="009E442D">
        <w:rPr>
          <w:rFonts w:ascii="Arial" w:hAnsi="Arial" w:cs="Arial"/>
          <w:sz w:val="24"/>
          <w:szCs w:val="24"/>
        </w:rPr>
        <w:t>further information to be completed.</w:t>
      </w:r>
      <w:r w:rsidR="00CA5671" w:rsidRPr="009E442D">
        <w:rPr>
          <w:rFonts w:ascii="Arial" w:hAnsi="Arial" w:cs="Arial"/>
          <w:sz w:val="24"/>
          <w:szCs w:val="24"/>
        </w:rPr>
        <w:t xml:space="preserve"> This will include details of the hours of provision requested and evidence of entitlement.</w:t>
      </w:r>
    </w:p>
    <w:p w:rsidR="00E71C17" w:rsidRPr="009E442D" w:rsidRDefault="00E71C17" w:rsidP="00E71C1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E442D">
        <w:rPr>
          <w:rFonts w:ascii="Arial" w:hAnsi="Arial" w:cs="Arial"/>
          <w:sz w:val="24"/>
          <w:szCs w:val="24"/>
        </w:rPr>
        <w:lastRenderedPageBreak/>
        <w:t>The request will be considered at the first available EHC Panel and a decision made.  The person who made the request will be informed of the decision, in writing, within 7 days of the panel decision.</w:t>
      </w:r>
      <w:r w:rsidR="00337509" w:rsidRPr="009E442D">
        <w:rPr>
          <w:rFonts w:ascii="Arial" w:hAnsi="Arial" w:cs="Arial"/>
          <w:sz w:val="24"/>
          <w:szCs w:val="24"/>
        </w:rPr>
        <w:t xml:space="preserve"> </w:t>
      </w:r>
    </w:p>
    <w:p w:rsidR="00CD0176" w:rsidRPr="009E442D" w:rsidRDefault="00CD0176" w:rsidP="00E71C1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E442D">
        <w:rPr>
          <w:rFonts w:ascii="Arial" w:hAnsi="Arial" w:cs="Arial"/>
          <w:sz w:val="24"/>
          <w:szCs w:val="24"/>
        </w:rPr>
        <w:t>FIS will be a</w:t>
      </w:r>
      <w:r w:rsidR="00EE1DBC">
        <w:rPr>
          <w:rFonts w:ascii="Arial" w:hAnsi="Arial" w:cs="Arial"/>
          <w:sz w:val="24"/>
          <w:szCs w:val="24"/>
        </w:rPr>
        <w:t>s</w:t>
      </w:r>
      <w:r w:rsidRPr="009E442D">
        <w:rPr>
          <w:rFonts w:ascii="Arial" w:hAnsi="Arial" w:cs="Arial"/>
          <w:sz w:val="24"/>
          <w:szCs w:val="24"/>
        </w:rPr>
        <w:t>ked to provide the decision to the parents/carers</w:t>
      </w:r>
      <w:r w:rsidR="00CA5671" w:rsidRPr="009E442D">
        <w:rPr>
          <w:rFonts w:ascii="Arial" w:hAnsi="Arial" w:cs="Arial"/>
          <w:sz w:val="24"/>
          <w:szCs w:val="24"/>
        </w:rPr>
        <w:t>, directing to Bespoke Childcare Providers where provisio</w:t>
      </w:r>
      <w:r w:rsidR="00CA5671" w:rsidRPr="00182F58">
        <w:rPr>
          <w:rFonts w:ascii="Arial" w:hAnsi="Arial" w:cs="Arial"/>
          <w:sz w:val="24"/>
          <w:szCs w:val="24"/>
        </w:rPr>
        <w:t xml:space="preserve">n is agreed and to the </w:t>
      </w:r>
      <w:r w:rsidR="00CA5671" w:rsidRPr="00DB19EA">
        <w:rPr>
          <w:rFonts w:ascii="Arial" w:hAnsi="Arial" w:cs="Arial"/>
          <w:sz w:val="24"/>
          <w:szCs w:val="24"/>
        </w:rPr>
        <w:t xml:space="preserve">Childcare Inclusion </w:t>
      </w:r>
      <w:proofErr w:type="gramStart"/>
      <w:r w:rsidR="00CA5671" w:rsidRPr="00DB19EA">
        <w:rPr>
          <w:rFonts w:ascii="Arial" w:hAnsi="Arial" w:cs="Arial"/>
          <w:sz w:val="24"/>
          <w:szCs w:val="24"/>
        </w:rPr>
        <w:t>Funding</w:t>
      </w:r>
      <w:proofErr w:type="gramEnd"/>
      <w:r w:rsidR="00CA5671" w:rsidRPr="00182F58">
        <w:rPr>
          <w:rFonts w:ascii="Arial" w:hAnsi="Arial" w:cs="Arial"/>
          <w:sz w:val="24"/>
          <w:szCs w:val="24"/>
        </w:rPr>
        <w:t xml:space="preserve"> where not</w:t>
      </w:r>
      <w:r w:rsidRPr="00182F58">
        <w:rPr>
          <w:rFonts w:ascii="Arial" w:hAnsi="Arial" w:cs="Arial"/>
          <w:sz w:val="24"/>
          <w:szCs w:val="24"/>
        </w:rPr>
        <w:t>.</w:t>
      </w:r>
    </w:p>
    <w:p w:rsidR="00337509" w:rsidRPr="009E442D" w:rsidRDefault="00337509" w:rsidP="00E71C1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E442D">
        <w:rPr>
          <w:rFonts w:ascii="Arial" w:hAnsi="Arial" w:cs="Arial"/>
          <w:sz w:val="24"/>
          <w:szCs w:val="24"/>
        </w:rPr>
        <w:t xml:space="preserve">Parents will be </w:t>
      </w:r>
      <w:r w:rsidR="00CD0176" w:rsidRPr="009E442D">
        <w:rPr>
          <w:rFonts w:ascii="Arial" w:hAnsi="Arial" w:cs="Arial"/>
          <w:sz w:val="24"/>
          <w:szCs w:val="24"/>
        </w:rPr>
        <w:t xml:space="preserve">then be </w:t>
      </w:r>
      <w:r w:rsidRPr="009E442D">
        <w:rPr>
          <w:rFonts w:ascii="Arial" w:hAnsi="Arial" w:cs="Arial"/>
          <w:sz w:val="24"/>
          <w:szCs w:val="24"/>
        </w:rPr>
        <w:t>advised to contact providers to arrange provision directly.</w:t>
      </w:r>
    </w:p>
    <w:p w:rsidR="00337509" w:rsidRPr="009E442D" w:rsidRDefault="00337509" w:rsidP="00E71C1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E442D">
        <w:rPr>
          <w:rFonts w:ascii="Arial" w:hAnsi="Arial" w:cs="Arial"/>
          <w:sz w:val="24"/>
          <w:szCs w:val="24"/>
        </w:rPr>
        <w:t xml:space="preserve">Providers will make a submission to SENART </w:t>
      </w:r>
      <w:r w:rsidR="00CA5671" w:rsidRPr="009E442D">
        <w:rPr>
          <w:rFonts w:ascii="Arial" w:hAnsi="Arial" w:cs="Arial"/>
          <w:sz w:val="24"/>
          <w:szCs w:val="24"/>
        </w:rPr>
        <w:t>confirming the type and hours of provision requested, including evidence of entitlement.</w:t>
      </w:r>
    </w:p>
    <w:p w:rsidR="00423DD2" w:rsidRPr="009E442D" w:rsidRDefault="00423DD2" w:rsidP="00423DD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E442D">
        <w:rPr>
          <w:rFonts w:ascii="Arial" w:hAnsi="Arial" w:cs="Arial"/>
          <w:sz w:val="24"/>
          <w:szCs w:val="24"/>
        </w:rPr>
        <w:t>Payment will be made via the SENSS/SEND reform team with liaison with the Childcare Market Development Team</w:t>
      </w:r>
    </w:p>
    <w:p w:rsidR="00E71C17" w:rsidRPr="00E71C17" w:rsidRDefault="00E71C17" w:rsidP="00E71C1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71C17">
        <w:rPr>
          <w:rFonts w:ascii="Arial" w:hAnsi="Arial" w:cs="Arial"/>
          <w:sz w:val="24"/>
          <w:szCs w:val="24"/>
        </w:rPr>
        <w:t xml:space="preserve">Evidence of expenditure must be provided by the </w:t>
      </w:r>
      <w:r w:rsidR="00CD0176">
        <w:rPr>
          <w:rFonts w:ascii="Arial" w:hAnsi="Arial" w:cs="Arial"/>
          <w:sz w:val="24"/>
          <w:szCs w:val="24"/>
        </w:rPr>
        <w:t xml:space="preserve"> bespoke childcare provider </w:t>
      </w:r>
      <w:r w:rsidRPr="00E71C17">
        <w:rPr>
          <w:rFonts w:ascii="Arial" w:hAnsi="Arial" w:cs="Arial"/>
          <w:sz w:val="24"/>
          <w:szCs w:val="24"/>
        </w:rPr>
        <w:t xml:space="preserve"> on request by the Childcare Development Team (register of staff attendance, invoices, receipts etc)</w:t>
      </w:r>
    </w:p>
    <w:p w:rsidR="00E71C17" w:rsidRPr="00E71C17" w:rsidRDefault="00E71C17" w:rsidP="00E71C1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71C17">
        <w:rPr>
          <w:rFonts w:ascii="Arial" w:hAnsi="Arial" w:cs="Arial"/>
          <w:sz w:val="24"/>
          <w:szCs w:val="24"/>
        </w:rPr>
        <w:t xml:space="preserve">Eligibility will be written into the Education, Health and Care Plan as appropriate </w:t>
      </w:r>
    </w:p>
    <w:p w:rsidR="00E71C17" w:rsidRPr="00E71C17" w:rsidRDefault="00E71C17" w:rsidP="00E71C17">
      <w:pPr>
        <w:pStyle w:val="ListParagraph"/>
        <w:rPr>
          <w:rFonts w:ascii="Arial" w:hAnsi="Arial" w:cs="Arial"/>
          <w:sz w:val="24"/>
          <w:szCs w:val="24"/>
        </w:rPr>
      </w:pPr>
    </w:p>
    <w:p w:rsidR="00E71C17" w:rsidRPr="00E71C17" w:rsidRDefault="00E71C17" w:rsidP="00E71C17">
      <w:pPr>
        <w:rPr>
          <w:rFonts w:ascii="Arial" w:hAnsi="Arial" w:cs="Arial"/>
          <w:b/>
        </w:rPr>
      </w:pPr>
      <w:r w:rsidRPr="00E71C17">
        <w:rPr>
          <w:rFonts w:ascii="Arial" w:hAnsi="Arial" w:cs="Arial"/>
          <w:b/>
        </w:rPr>
        <w:t xml:space="preserve">CRITERIA FOR THE ALLOCATION OF </w:t>
      </w:r>
      <w:r w:rsidR="00DE422E">
        <w:rPr>
          <w:rFonts w:ascii="Arial" w:hAnsi="Arial" w:cs="Arial"/>
          <w:b/>
        </w:rPr>
        <w:t xml:space="preserve">BESPOKE </w:t>
      </w:r>
      <w:r w:rsidRPr="00E71C17">
        <w:rPr>
          <w:rFonts w:ascii="Arial" w:hAnsi="Arial" w:cs="Arial"/>
          <w:b/>
        </w:rPr>
        <w:t>CHILDCARE INC</w:t>
      </w:r>
      <w:r w:rsidR="0061464D">
        <w:rPr>
          <w:rFonts w:ascii="Arial" w:hAnsi="Arial" w:cs="Arial"/>
          <w:b/>
        </w:rPr>
        <w:t>L</w:t>
      </w:r>
      <w:r w:rsidRPr="00E71C17">
        <w:rPr>
          <w:rFonts w:ascii="Arial" w:hAnsi="Arial" w:cs="Arial"/>
          <w:b/>
        </w:rPr>
        <w:t>USION FUNDING (April 2015)</w:t>
      </w:r>
    </w:p>
    <w:p w:rsidR="00E71C17" w:rsidRDefault="00E71C17" w:rsidP="00E71C17">
      <w:pPr>
        <w:jc w:val="both"/>
        <w:rPr>
          <w:rFonts w:ascii="Arial" w:hAnsi="Arial" w:cs="Arial"/>
          <w:bCs/>
        </w:rPr>
      </w:pPr>
    </w:p>
    <w:p w:rsidR="00E71C17" w:rsidRPr="00E71C17" w:rsidRDefault="00E71C17" w:rsidP="00E71C17">
      <w:pPr>
        <w:jc w:val="both"/>
        <w:rPr>
          <w:rFonts w:ascii="Arial" w:hAnsi="Arial" w:cs="Arial"/>
          <w:bCs/>
        </w:rPr>
      </w:pPr>
      <w:r w:rsidRPr="00E71C17">
        <w:rPr>
          <w:rFonts w:ascii="Arial" w:hAnsi="Arial" w:cs="Arial"/>
          <w:bCs/>
        </w:rPr>
        <w:t xml:space="preserve">The following criteria will be used to determine whether referred children can access additional support within the childcare setting to aid their inclusion into childcare. </w:t>
      </w:r>
    </w:p>
    <w:p w:rsidR="00E71C17" w:rsidRPr="00E71C17" w:rsidRDefault="00E71C17" w:rsidP="00E71C17">
      <w:pPr>
        <w:jc w:val="both"/>
        <w:rPr>
          <w:rFonts w:ascii="Arial" w:hAnsi="Arial" w:cs="Arial"/>
          <w:bCs/>
        </w:rPr>
      </w:pPr>
    </w:p>
    <w:p w:rsidR="00E71C17" w:rsidRPr="00E71C17" w:rsidRDefault="00E71C17" w:rsidP="00E71C1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71C17">
        <w:rPr>
          <w:rFonts w:ascii="Arial" w:eastAsia="Times New Roman" w:hAnsi="Arial" w:cs="Arial"/>
          <w:bCs/>
          <w:sz w:val="24"/>
          <w:szCs w:val="24"/>
        </w:rPr>
        <w:t>Parents will pay for their child’s childcare fees.</w:t>
      </w:r>
    </w:p>
    <w:p w:rsidR="00E71C17" w:rsidRPr="00E71C17" w:rsidRDefault="00E71C17" w:rsidP="00E71C1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71C17">
        <w:rPr>
          <w:rFonts w:ascii="Arial" w:eastAsia="Times New Roman" w:hAnsi="Arial" w:cs="Arial"/>
          <w:bCs/>
          <w:sz w:val="24"/>
          <w:szCs w:val="24"/>
        </w:rPr>
        <w:t>Parents must be working, training, volunteering or undertaking additional caring duties.</w:t>
      </w:r>
    </w:p>
    <w:p w:rsidR="00E71C17" w:rsidRPr="00E71C17" w:rsidRDefault="00E71C17" w:rsidP="00E71C1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71C17">
        <w:rPr>
          <w:rFonts w:ascii="Arial" w:eastAsia="Times New Roman" w:hAnsi="Arial" w:cs="Arial"/>
          <w:bCs/>
          <w:sz w:val="24"/>
          <w:szCs w:val="24"/>
        </w:rPr>
        <w:t xml:space="preserve">Childcare may also be used for appointments to meet </w:t>
      </w:r>
      <w:r w:rsidR="00CD0176">
        <w:rPr>
          <w:rFonts w:ascii="Arial" w:eastAsia="Times New Roman" w:hAnsi="Arial" w:cs="Arial"/>
          <w:bCs/>
          <w:sz w:val="24"/>
          <w:szCs w:val="24"/>
        </w:rPr>
        <w:t>p</w:t>
      </w:r>
      <w:r w:rsidRPr="00E71C17">
        <w:rPr>
          <w:rFonts w:ascii="Arial" w:eastAsia="Times New Roman" w:hAnsi="Arial" w:cs="Arial"/>
          <w:bCs/>
          <w:sz w:val="24"/>
          <w:szCs w:val="24"/>
        </w:rPr>
        <w:t>arental commitments</w:t>
      </w:r>
    </w:p>
    <w:p w:rsidR="00E71C17" w:rsidRDefault="00E71C17" w:rsidP="00E71C1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71C17">
        <w:rPr>
          <w:rFonts w:ascii="Arial" w:eastAsia="Times New Roman" w:hAnsi="Arial" w:cs="Arial"/>
          <w:bCs/>
          <w:sz w:val="24"/>
          <w:szCs w:val="24"/>
        </w:rPr>
        <w:t>In two parent households this must apply to both parents.</w:t>
      </w:r>
    </w:p>
    <w:p w:rsidR="00DE422E" w:rsidRDefault="00DE422E" w:rsidP="00E71C1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child is not able to access any mainstream childcare provision, including with additional support from Childcare Inclusion Funding.</w:t>
      </w:r>
    </w:p>
    <w:p w:rsidR="00DE422E" w:rsidRDefault="00DE422E" w:rsidP="00E71C1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child will be expected to fall into one of 3 categories:</w:t>
      </w:r>
    </w:p>
    <w:p w:rsidR="00DE422E" w:rsidRDefault="00DE422E" w:rsidP="00DE422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Is too old to access mainstream childcare provision within the local market but still requires additional support to access provision</w:t>
      </w:r>
    </w:p>
    <w:p w:rsidR="00DE422E" w:rsidRDefault="00DE422E" w:rsidP="00DE422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Childcare Inclusion Funding has been used and is no longer able to meet the child’s needs</w:t>
      </w:r>
    </w:p>
    <w:p w:rsidR="00DE422E" w:rsidRDefault="00CD0176" w:rsidP="00DE422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There is clear evidence </w:t>
      </w:r>
      <w:r w:rsidR="00DE422E">
        <w:rPr>
          <w:rFonts w:ascii="Arial" w:eastAsia="Times New Roman" w:hAnsi="Arial" w:cs="Arial"/>
          <w:bCs/>
          <w:sz w:val="24"/>
          <w:szCs w:val="24"/>
        </w:rPr>
        <w:t>that the child’s needs cannot be met within a mainstream provision, even with the additional support of childcare inclusion funding.</w:t>
      </w:r>
    </w:p>
    <w:p w:rsidR="00E71C17" w:rsidRPr="00E71C17" w:rsidRDefault="00E71C17" w:rsidP="00E71C1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71C17">
        <w:rPr>
          <w:rFonts w:ascii="Arial" w:eastAsia="Times New Roman" w:hAnsi="Arial" w:cs="Arial"/>
          <w:bCs/>
          <w:sz w:val="24"/>
          <w:szCs w:val="24"/>
        </w:rPr>
        <w:t>This list is not exhaustive.</w:t>
      </w:r>
    </w:p>
    <w:p w:rsidR="00E71C17" w:rsidRPr="00E71C17" w:rsidRDefault="00E71C17" w:rsidP="00E71C17">
      <w:pPr>
        <w:jc w:val="both"/>
        <w:rPr>
          <w:rFonts w:ascii="Arial" w:hAnsi="Arial" w:cs="Arial"/>
          <w:bCs/>
        </w:rPr>
      </w:pPr>
    </w:p>
    <w:p w:rsidR="00E71C17" w:rsidRPr="00E71C17" w:rsidRDefault="00E71C17" w:rsidP="00E71C17">
      <w:pPr>
        <w:jc w:val="both"/>
        <w:rPr>
          <w:rFonts w:ascii="Arial" w:hAnsi="Arial" w:cs="Arial"/>
          <w:b/>
          <w:bCs/>
        </w:rPr>
      </w:pPr>
    </w:p>
    <w:p w:rsidR="00E71C17" w:rsidRPr="00E71C17" w:rsidRDefault="00E71C17" w:rsidP="00E71C17">
      <w:pPr>
        <w:jc w:val="both"/>
        <w:rPr>
          <w:rFonts w:ascii="Arial" w:hAnsi="Arial" w:cs="Arial"/>
        </w:rPr>
      </w:pPr>
      <w:r w:rsidRPr="00E71C17">
        <w:rPr>
          <w:rFonts w:ascii="Arial" w:hAnsi="Arial" w:cs="Arial"/>
        </w:rPr>
        <w:t>Support for the child is not dependent on diagnosis of a specific condition but is dependent on the assessment of the child’s needs and the interventions required to address this</w:t>
      </w:r>
      <w:r>
        <w:rPr>
          <w:rFonts w:ascii="Arial" w:hAnsi="Arial" w:cs="Arial"/>
        </w:rPr>
        <w:t xml:space="preserve"> as detailed below</w:t>
      </w:r>
      <w:r w:rsidRPr="00E71C17">
        <w:rPr>
          <w:rFonts w:ascii="Arial" w:hAnsi="Arial" w:cs="Arial"/>
        </w:rPr>
        <w:t xml:space="preserve">.  </w:t>
      </w:r>
    </w:p>
    <w:p w:rsidR="00E71C17" w:rsidRPr="00E71C17" w:rsidRDefault="00E71C17" w:rsidP="00E71C17">
      <w:pPr>
        <w:ind w:left="180"/>
        <w:jc w:val="both"/>
        <w:rPr>
          <w:rFonts w:ascii="Arial" w:hAnsi="Arial" w:cs="Arial"/>
        </w:rPr>
      </w:pPr>
    </w:p>
    <w:p w:rsidR="00E71C17" w:rsidRPr="00CA5671" w:rsidRDefault="00E71C17" w:rsidP="00CA5671">
      <w:pPr>
        <w:jc w:val="both"/>
        <w:rPr>
          <w:rFonts w:ascii="Arial" w:hAnsi="Arial" w:cs="Arial"/>
        </w:rPr>
      </w:pPr>
      <w:r w:rsidRPr="00CA5671">
        <w:rPr>
          <w:rFonts w:ascii="Arial" w:hAnsi="Arial" w:cs="Arial"/>
        </w:rPr>
        <w:t xml:space="preserve">The </w:t>
      </w:r>
      <w:r w:rsidR="00394577" w:rsidRPr="00CA5671">
        <w:rPr>
          <w:rFonts w:ascii="Arial" w:hAnsi="Arial" w:cs="Arial"/>
        </w:rPr>
        <w:t xml:space="preserve">child </w:t>
      </w:r>
      <w:r w:rsidR="005C5970" w:rsidRPr="00CA5671">
        <w:rPr>
          <w:rFonts w:ascii="Arial" w:hAnsi="Arial" w:cs="Arial"/>
        </w:rPr>
        <w:t xml:space="preserve">has </w:t>
      </w:r>
      <w:r w:rsidR="00394577" w:rsidRPr="00CA5671">
        <w:rPr>
          <w:rFonts w:ascii="Arial" w:hAnsi="Arial" w:cs="Arial"/>
        </w:rPr>
        <w:t>a</w:t>
      </w:r>
      <w:r w:rsidR="005C5970" w:rsidRPr="00CA5671">
        <w:rPr>
          <w:rFonts w:ascii="Arial" w:hAnsi="Arial" w:cs="Arial"/>
        </w:rPr>
        <w:t xml:space="preserve">n </w:t>
      </w:r>
      <w:r w:rsidRPr="00CA5671">
        <w:rPr>
          <w:rFonts w:ascii="Arial" w:hAnsi="Arial" w:cs="Arial"/>
        </w:rPr>
        <w:t xml:space="preserve">Education, Health and Care Plan indicating that a </w:t>
      </w:r>
      <w:r w:rsidR="005C5970" w:rsidRPr="00CA5671">
        <w:rPr>
          <w:rFonts w:ascii="Arial" w:hAnsi="Arial" w:cs="Arial"/>
        </w:rPr>
        <w:t xml:space="preserve">very </w:t>
      </w:r>
      <w:r w:rsidRPr="00CA5671">
        <w:rPr>
          <w:rFonts w:ascii="Arial" w:hAnsi="Arial" w:cs="Arial"/>
        </w:rPr>
        <w:t>high level of support has been identified as being appropriate to meet the child’s needs</w:t>
      </w:r>
      <w:r w:rsidR="005C5970" w:rsidRPr="00CA5671">
        <w:rPr>
          <w:rFonts w:ascii="Arial" w:hAnsi="Arial" w:cs="Arial"/>
        </w:rPr>
        <w:t>.</w:t>
      </w:r>
      <w:r w:rsidRPr="00CA5671">
        <w:rPr>
          <w:rFonts w:ascii="Arial" w:hAnsi="Arial" w:cs="Arial"/>
        </w:rPr>
        <w:t xml:space="preserve"> </w:t>
      </w:r>
      <w:r w:rsidR="00CD0176" w:rsidRPr="00CA5671">
        <w:rPr>
          <w:rFonts w:ascii="Arial" w:hAnsi="Arial" w:cs="Arial"/>
        </w:rPr>
        <w:t xml:space="preserve"> </w:t>
      </w:r>
      <w:r w:rsidR="00EE1DBC">
        <w:rPr>
          <w:rFonts w:ascii="Arial" w:hAnsi="Arial" w:cs="Arial"/>
        </w:rPr>
        <w:t>In addition</w:t>
      </w:r>
      <w:r w:rsidR="00EE1DBC" w:rsidRPr="00CA5671">
        <w:rPr>
          <w:rFonts w:ascii="Arial" w:hAnsi="Arial" w:cs="Arial"/>
        </w:rPr>
        <w:t xml:space="preserve"> </w:t>
      </w:r>
      <w:r w:rsidR="00CD0176" w:rsidRPr="00CA5671">
        <w:rPr>
          <w:rFonts w:ascii="Arial" w:hAnsi="Arial" w:cs="Arial"/>
        </w:rPr>
        <w:lastRenderedPageBreak/>
        <w:t xml:space="preserve">the child will have a complicating/complex medical or physical condition which requires a high level of supervision and support outside the expertise and </w:t>
      </w:r>
      <w:proofErr w:type="spellStart"/>
      <w:r w:rsidR="00CD0176" w:rsidRPr="00CA5671">
        <w:rPr>
          <w:rFonts w:ascii="Arial" w:hAnsi="Arial" w:cs="Arial"/>
        </w:rPr>
        <w:t>capabilitites</w:t>
      </w:r>
      <w:proofErr w:type="spellEnd"/>
      <w:r w:rsidR="00CD0176" w:rsidRPr="00CA5671">
        <w:rPr>
          <w:rFonts w:ascii="Arial" w:hAnsi="Arial" w:cs="Arial"/>
        </w:rPr>
        <w:t xml:space="preserve"> of the childcare setting. </w:t>
      </w:r>
      <w:r w:rsidR="005C5970" w:rsidRPr="00CA5671">
        <w:rPr>
          <w:rFonts w:ascii="Arial" w:hAnsi="Arial" w:cs="Arial"/>
        </w:rPr>
        <w:t xml:space="preserve">The child is likely to have such complex needs that specialist educational provision has been identified as appropriate to meet needs. </w:t>
      </w:r>
    </w:p>
    <w:p w:rsidR="00CA5671" w:rsidRDefault="00CA5671" w:rsidP="00CA5671">
      <w:pPr>
        <w:jc w:val="both"/>
        <w:rPr>
          <w:rFonts w:ascii="Arial" w:hAnsi="Arial" w:cs="Arial"/>
        </w:rPr>
      </w:pPr>
    </w:p>
    <w:p w:rsidR="005C5970" w:rsidRPr="009E442D" w:rsidRDefault="005C5970" w:rsidP="00CA5671">
      <w:pPr>
        <w:jc w:val="both"/>
        <w:rPr>
          <w:rFonts w:ascii="Arial" w:eastAsiaTheme="minorHAnsi" w:hAnsi="Arial" w:cs="Arial"/>
          <w:sz w:val="22"/>
          <w:szCs w:val="22"/>
        </w:rPr>
      </w:pPr>
      <w:r w:rsidRPr="00CA5671">
        <w:rPr>
          <w:rFonts w:ascii="Arial" w:hAnsi="Arial" w:cs="Arial"/>
        </w:rPr>
        <w:t>The child/young person has a statement/EHC Plan but is too old to access the usual mainstream childcare options</w:t>
      </w:r>
      <w:r w:rsidR="00CA5671">
        <w:rPr>
          <w:rFonts w:ascii="Arial" w:hAnsi="Arial" w:cs="Arial"/>
        </w:rPr>
        <w:t xml:space="preserve"> whilst still requiring </w:t>
      </w:r>
      <w:r w:rsidR="00CA5671" w:rsidRPr="009E442D">
        <w:rPr>
          <w:rFonts w:ascii="Arial" w:hAnsi="Arial" w:cs="Arial"/>
        </w:rPr>
        <w:t>access to provision in order to remain safe from harm</w:t>
      </w:r>
      <w:r w:rsidRPr="009E442D">
        <w:rPr>
          <w:rFonts w:ascii="Arial" w:hAnsi="Arial" w:cs="Arial"/>
        </w:rPr>
        <w:t xml:space="preserve">.  </w:t>
      </w:r>
    </w:p>
    <w:p w:rsidR="00E71C17" w:rsidRPr="009E442D" w:rsidRDefault="00E71C17" w:rsidP="00E71C17">
      <w:pPr>
        <w:ind w:left="720"/>
        <w:jc w:val="both"/>
        <w:rPr>
          <w:rFonts w:ascii="Arial" w:hAnsi="Arial" w:cs="Arial"/>
        </w:rPr>
      </w:pPr>
    </w:p>
    <w:p w:rsidR="00E71C17" w:rsidRPr="00E71C17" w:rsidRDefault="00E71C17" w:rsidP="00E71C17">
      <w:pPr>
        <w:jc w:val="both"/>
        <w:rPr>
          <w:rFonts w:ascii="Arial" w:hAnsi="Arial" w:cs="Arial"/>
        </w:rPr>
      </w:pPr>
      <w:r w:rsidRPr="00E71C17">
        <w:rPr>
          <w:rFonts w:ascii="Arial" w:hAnsi="Arial" w:cs="Arial"/>
        </w:rPr>
        <w:t>The Education, Health and Care Panel will approve or otherwise the funding request.</w:t>
      </w:r>
    </w:p>
    <w:p w:rsidR="00E71C17" w:rsidRDefault="00E71C17" w:rsidP="00E71C17">
      <w:pPr>
        <w:rPr>
          <w:rFonts w:ascii="Arial" w:hAnsi="Arial" w:cs="Arial"/>
        </w:rPr>
      </w:pPr>
    </w:p>
    <w:p w:rsidR="00E71C17" w:rsidRPr="00E71C17" w:rsidRDefault="00E71C17" w:rsidP="00E71C17">
      <w:pPr>
        <w:rPr>
          <w:rFonts w:ascii="Arial" w:hAnsi="Arial" w:cs="Arial"/>
        </w:rPr>
      </w:pPr>
    </w:p>
    <w:p w:rsidR="00E71C17" w:rsidRPr="00E71C17" w:rsidRDefault="00E71C17" w:rsidP="00E71C17">
      <w:pPr>
        <w:rPr>
          <w:rFonts w:ascii="Arial" w:hAnsi="Arial" w:cs="Arial"/>
        </w:rPr>
      </w:pPr>
    </w:p>
    <w:p w:rsidR="00E71C17" w:rsidRPr="00E71C17" w:rsidRDefault="00E71C17" w:rsidP="00E71C17">
      <w:pPr>
        <w:rPr>
          <w:rFonts w:ascii="Arial" w:hAnsi="Arial" w:cs="Arial"/>
        </w:rPr>
      </w:pPr>
    </w:p>
    <w:p w:rsidR="00E71C17" w:rsidRPr="00E71C17" w:rsidRDefault="00E71C17" w:rsidP="00E71C17">
      <w:pPr>
        <w:rPr>
          <w:rFonts w:ascii="Arial" w:hAnsi="Arial" w:cs="Arial"/>
        </w:rPr>
      </w:pPr>
    </w:p>
    <w:p w:rsidR="00E71C17" w:rsidRPr="00E71C17" w:rsidRDefault="00E71C17" w:rsidP="00E71C17">
      <w:pPr>
        <w:rPr>
          <w:rFonts w:ascii="Arial" w:hAnsi="Arial" w:cs="Arial"/>
        </w:rPr>
      </w:pPr>
    </w:p>
    <w:p w:rsidR="00E71C17" w:rsidRPr="00E71C17" w:rsidRDefault="00E71C17" w:rsidP="00E71C17">
      <w:pPr>
        <w:rPr>
          <w:rFonts w:ascii="Arial" w:hAnsi="Arial" w:cs="Arial"/>
        </w:rPr>
      </w:pPr>
    </w:p>
    <w:p w:rsidR="00E71C17" w:rsidRPr="00E71C17" w:rsidRDefault="00E71C17" w:rsidP="00E71C17">
      <w:pPr>
        <w:rPr>
          <w:rFonts w:ascii="Arial" w:hAnsi="Arial" w:cs="Arial"/>
        </w:rPr>
      </w:pPr>
    </w:p>
    <w:p w:rsidR="00E71C17" w:rsidRPr="00E71C17" w:rsidRDefault="00E71C17" w:rsidP="00E71C17">
      <w:pPr>
        <w:rPr>
          <w:rFonts w:ascii="Arial" w:hAnsi="Arial" w:cs="Arial"/>
        </w:rPr>
      </w:pPr>
    </w:p>
    <w:p w:rsidR="00E71C17" w:rsidRDefault="00E71C17" w:rsidP="00E71C17">
      <w:pPr>
        <w:rPr>
          <w:rFonts w:ascii="Arial" w:hAnsi="Arial" w:cs="Arial"/>
        </w:rPr>
      </w:pPr>
    </w:p>
    <w:p w:rsidR="00E71C17" w:rsidRDefault="00E71C17" w:rsidP="00E71C17">
      <w:pPr>
        <w:rPr>
          <w:rFonts w:ascii="Arial" w:hAnsi="Arial" w:cs="Arial"/>
        </w:rPr>
      </w:pPr>
    </w:p>
    <w:p w:rsidR="00A766B9" w:rsidRPr="00E71C17" w:rsidRDefault="00E71C17" w:rsidP="00E71C17">
      <w:p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766B9" w:rsidRPr="00E71C17" w:rsidSect="00541A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38"/>
      <w:pgMar w:top="1230" w:right="1267" w:bottom="1440" w:left="1276" w:header="0" w:footer="5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E0" w:rsidRDefault="00252DE0">
      <w:r>
        <w:separator/>
      </w:r>
    </w:p>
  </w:endnote>
  <w:endnote w:type="continuationSeparator" w:id="0">
    <w:p w:rsidR="00252DE0" w:rsidRDefault="0025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63" w:rsidRDefault="00580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84" w:rsidRDefault="00644514">
    <w:pPr>
      <w:pStyle w:val="Footer"/>
      <w:ind w:hanging="851"/>
    </w:pPr>
    <w:r>
      <w:rPr>
        <w:noProof/>
        <w:lang w:eastAsia="en-GB"/>
      </w:rPr>
      <w:drawing>
        <wp:inline distT="0" distB="0" distL="0" distR="0" wp14:anchorId="56EDB674" wp14:editId="2CF0C315">
          <wp:extent cx="7591425" cy="10858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84" w:rsidRDefault="00644514">
    <w:pPr>
      <w:pStyle w:val="Footer"/>
      <w:ind w:hanging="851"/>
    </w:pPr>
    <w:r>
      <w:rPr>
        <w:noProof/>
        <w:lang w:eastAsia="en-GB"/>
      </w:rPr>
      <w:drawing>
        <wp:inline distT="0" distB="0" distL="0" distR="0" wp14:anchorId="7FF115D0" wp14:editId="1A0A6C13">
          <wp:extent cx="7572375" cy="1343025"/>
          <wp:effectExtent l="0" t="0" r="9525" b="9525"/>
          <wp:docPr id="6" name="Picture 6" descr="Footer - no bea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 - no bea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E0" w:rsidRDefault="00252DE0">
      <w:r>
        <w:separator/>
      </w:r>
    </w:p>
  </w:footnote>
  <w:footnote w:type="continuationSeparator" w:id="0">
    <w:p w:rsidR="00252DE0" w:rsidRDefault="00252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63" w:rsidRDefault="00580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293767"/>
      <w:docPartObj>
        <w:docPartGallery w:val="Watermarks"/>
        <w:docPartUnique/>
      </w:docPartObj>
    </w:sdtPr>
    <w:sdtEndPr/>
    <w:sdtContent>
      <w:p w:rsidR="00580363" w:rsidRDefault="006E5A6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84" w:rsidRDefault="00644514">
    <w:pPr>
      <w:pStyle w:val="Header"/>
      <w:ind w:hanging="851"/>
    </w:pPr>
    <w:r>
      <w:rPr>
        <w:noProof/>
        <w:vertAlign w:val="subscript"/>
        <w:lang w:eastAsia="en-GB"/>
      </w:rPr>
      <w:drawing>
        <wp:inline distT="0" distB="0" distL="0" distR="0" wp14:anchorId="787D74A7" wp14:editId="0A7B837B">
          <wp:extent cx="7562850" cy="1438275"/>
          <wp:effectExtent l="0" t="0" r="0" b="9525"/>
          <wp:docPr id="2" name="Picture 1" descr="C&amp;YP 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&amp;YP 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Courier New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Courier New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">
    <w:nsid w:val="03A1658C"/>
    <w:multiLevelType w:val="hybridMultilevel"/>
    <w:tmpl w:val="73D2C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1022D"/>
    <w:multiLevelType w:val="hybridMultilevel"/>
    <w:tmpl w:val="4AFC2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9A7A0A"/>
    <w:multiLevelType w:val="hybridMultilevel"/>
    <w:tmpl w:val="50AEA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36753"/>
    <w:multiLevelType w:val="hybridMultilevel"/>
    <w:tmpl w:val="4A5C11CC"/>
    <w:lvl w:ilvl="0" w:tplc="C242E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676A3"/>
    <w:multiLevelType w:val="hybridMultilevel"/>
    <w:tmpl w:val="B3149582"/>
    <w:lvl w:ilvl="0" w:tplc="C242E8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541B9E"/>
    <w:multiLevelType w:val="hybridMultilevel"/>
    <w:tmpl w:val="865CF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708F1"/>
    <w:multiLevelType w:val="hybridMultilevel"/>
    <w:tmpl w:val="5FEE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214FE"/>
    <w:multiLevelType w:val="hybridMultilevel"/>
    <w:tmpl w:val="F108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3023B"/>
    <w:multiLevelType w:val="hybridMultilevel"/>
    <w:tmpl w:val="9EDA7E98"/>
    <w:lvl w:ilvl="0" w:tplc="8272DCD8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44C07"/>
    <w:multiLevelType w:val="hybridMultilevel"/>
    <w:tmpl w:val="7B305D60"/>
    <w:lvl w:ilvl="0" w:tplc="C8306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73D50"/>
    <w:multiLevelType w:val="hybridMultilevel"/>
    <w:tmpl w:val="AD727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2404C"/>
    <w:multiLevelType w:val="hybridMultilevel"/>
    <w:tmpl w:val="C608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E051A"/>
    <w:multiLevelType w:val="hybridMultilevel"/>
    <w:tmpl w:val="AA16B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07A43"/>
    <w:multiLevelType w:val="hybridMultilevel"/>
    <w:tmpl w:val="42B6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563DC"/>
    <w:multiLevelType w:val="hybridMultilevel"/>
    <w:tmpl w:val="FE326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16"/>
  </w:num>
  <w:num w:numId="6">
    <w:abstractNumId w:val="0"/>
  </w:num>
  <w:num w:numId="7">
    <w:abstractNumId w:val="3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 w:numId="14">
    <w:abstractNumId w:val="18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5E"/>
    <w:rsid w:val="00026587"/>
    <w:rsid w:val="00027E70"/>
    <w:rsid w:val="00062587"/>
    <w:rsid w:val="000743F4"/>
    <w:rsid w:val="00081E0A"/>
    <w:rsid w:val="001403D2"/>
    <w:rsid w:val="00143697"/>
    <w:rsid w:val="00181229"/>
    <w:rsid w:val="00182F58"/>
    <w:rsid w:val="001D5193"/>
    <w:rsid w:val="00212769"/>
    <w:rsid w:val="002341A9"/>
    <w:rsid w:val="00252DE0"/>
    <w:rsid w:val="00261E45"/>
    <w:rsid w:val="002744C2"/>
    <w:rsid w:val="00283F2E"/>
    <w:rsid w:val="002A1BD5"/>
    <w:rsid w:val="002B4F34"/>
    <w:rsid w:val="002C2FDC"/>
    <w:rsid w:val="002D6CA6"/>
    <w:rsid w:val="002E17D2"/>
    <w:rsid w:val="00337509"/>
    <w:rsid w:val="00394577"/>
    <w:rsid w:val="003A4256"/>
    <w:rsid w:val="003D4AE2"/>
    <w:rsid w:val="003E71C4"/>
    <w:rsid w:val="003F24A5"/>
    <w:rsid w:val="003F5B81"/>
    <w:rsid w:val="00404008"/>
    <w:rsid w:val="00423DD2"/>
    <w:rsid w:val="0043449B"/>
    <w:rsid w:val="00475FE3"/>
    <w:rsid w:val="00480037"/>
    <w:rsid w:val="004A5663"/>
    <w:rsid w:val="00507CE0"/>
    <w:rsid w:val="00541A55"/>
    <w:rsid w:val="00570E7E"/>
    <w:rsid w:val="00580363"/>
    <w:rsid w:val="005A61AB"/>
    <w:rsid w:val="005C475B"/>
    <w:rsid w:val="005C5970"/>
    <w:rsid w:val="005F033B"/>
    <w:rsid w:val="005F79F9"/>
    <w:rsid w:val="0061464D"/>
    <w:rsid w:val="00635FB7"/>
    <w:rsid w:val="00644514"/>
    <w:rsid w:val="00686E48"/>
    <w:rsid w:val="006A0C22"/>
    <w:rsid w:val="006C37E7"/>
    <w:rsid w:val="006C5CC6"/>
    <w:rsid w:val="006C6B64"/>
    <w:rsid w:val="006D6969"/>
    <w:rsid w:val="006E5A67"/>
    <w:rsid w:val="007133D3"/>
    <w:rsid w:val="00725438"/>
    <w:rsid w:val="0075313F"/>
    <w:rsid w:val="00796E13"/>
    <w:rsid w:val="00804B79"/>
    <w:rsid w:val="00842B61"/>
    <w:rsid w:val="00864D8F"/>
    <w:rsid w:val="00871E89"/>
    <w:rsid w:val="008809FB"/>
    <w:rsid w:val="008B1E06"/>
    <w:rsid w:val="008B5478"/>
    <w:rsid w:val="008B6CC8"/>
    <w:rsid w:val="008C437A"/>
    <w:rsid w:val="008E1F27"/>
    <w:rsid w:val="00903877"/>
    <w:rsid w:val="00925761"/>
    <w:rsid w:val="00931A0C"/>
    <w:rsid w:val="009441A4"/>
    <w:rsid w:val="009719F5"/>
    <w:rsid w:val="009A004F"/>
    <w:rsid w:val="009B2AF0"/>
    <w:rsid w:val="009E442D"/>
    <w:rsid w:val="00A00D40"/>
    <w:rsid w:val="00A612F3"/>
    <w:rsid w:val="00A766B9"/>
    <w:rsid w:val="00AA0484"/>
    <w:rsid w:val="00B12D5E"/>
    <w:rsid w:val="00B63DD0"/>
    <w:rsid w:val="00B76A43"/>
    <w:rsid w:val="00BC1C32"/>
    <w:rsid w:val="00BC6D45"/>
    <w:rsid w:val="00C1044A"/>
    <w:rsid w:val="00C3301A"/>
    <w:rsid w:val="00C46C1B"/>
    <w:rsid w:val="00C46F34"/>
    <w:rsid w:val="00C47192"/>
    <w:rsid w:val="00C5026B"/>
    <w:rsid w:val="00C60C77"/>
    <w:rsid w:val="00CA5671"/>
    <w:rsid w:val="00CB05E1"/>
    <w:rsid w:val="00CB517B"/>
    <w:rsid w:val="00CD0176"/>
    <w:rsid w:val="00CF51ED"/>
    <w:rsid w:val="00D03AB6"/>
    <w:rsid w:val="00D45502"/>
    <w:rsid w:val="00D47A84"/>
    <w:rsid w:val="00D771B0"/>
    <w:rsid w:val="00DB19EA"/>
    <w:rsid w:val="00DB30C3"/>
    <w:rsid w:val="00DB5751"/>
    <w:rsid w:val="00DC16F9"/>
    <w:rsid w:val="00DE422E"/>
    <w:rsid w:val="00E10937"/>
    <w:rsid w:val="00E16822"/>
    <w:rsid w:val="00E30394"/>
    <w:rsid w:val="00E309A1"/>
    <w:rsid w:val="00E43F86"/>
    <w:rsid w:val="00E71C17"/>
    <w:rsid w:val="00EA2A94"/>
    <w:rsid w:val="00EB7632"/>
    <w:rsid w:val="00EC4E41"/>
    <w:rsid w:val="00EE1DBC"/>
    <w:rsid w:val="00F01256"/>
    <w:rsid w:val="00F14A7D"/>
    <w:rsid w:val="00F40484"/>
    <w:rsid w:val="00FA37F2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ind w:left="851"/>
      <w:jc w:val="right"/>
      <w:outlineLvl w:val="0"/>
    </w:pPr>
    <w:rPr>
      <w:rFonts w:ascii="Arial Narrow" w:hAnsi="Arial Narrow" w:cs="Arial"/>
      <w:b/>
      <w:color w:val="330099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766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27E70"/>
    <w:pPr>
      <w:keepLines/>
      <w:spacing w:before="480" w:after="0" w:line="276" w:lineRule="auto"/>
      <w:ind w:left="0"/>
      <w:jc w:val="left"/>
      <w:outlineLvl w:val="9"/>
    </w:pPr>
    <w:rPr>
      <w:rFonts w:ascii="Calibri" w:eastAsia="MS Gothic" w:hAnsi="Calibri" w:cs="Times New Roman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027E70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rsid w:val="00027E70"/>
    <w:rPr>
      <w:rFonts w:ascii="Cambria" w:hAnsi="Cambria"/>
      <w:sz w:val="22"/>
      <w:szCs w:val="22"/>
    </w:rPr>
  </w:style>
  <w:style w:type="paragraph" w:styleId="TOC3">
    <w:name w:val="toc 3"/>
    <w:basedOn w:val="Normal"/>
    <w:next w:val="Normal"/>
    <w:autoRedefine/>
    <w:rsid w:val="00027E70"/>
    <w:pPr>
      <w:ind w:left="24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rsid w:val="00027E70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027E70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027E70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027E70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027E70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027E70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D771B0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D77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A766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375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7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75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7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750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ind w:left="851"/>
      <w:jc w:val="right"/>
      <w:outlineLvl w:val="0"/>
    </w:pPr>
    <w:rPr>
      <w:rFonts w:ascii="Arial Narrow" w:hAnsi="Arial Narrow" w:cs="Arial"/>
      <w:b/>
      <w:color w:val="330099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766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27E70"/>
    <w:pPr>
      <w:keepLines/>
      <w:spacing w:before="480" w:after="0" w:line="276" w:lineRule="auto"/>
      <w:ind w:left="0"/>
      <w:jc w:val="left"/>
      <w:outlineLvl w:val="9"/>
    </w:pPr>
    <w:rPr>
      <w:rFonts w:ascii="Calibri" w:eastAsia="MS Gothic" w:hAnsi="Calibri" w:cs="Times New Roman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027E70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rsid w:val="00027E70"/>
    <w:rPr>
      <w:rFonts w:ascii="Cambria" w:hAnsi="Cambria"/>
      <w:sz w:val="22"/>
      <w:szCs w:val="22"/>
    </w:rPr>
  </w:style>
  <w:style w:type="paragraph" w:styleId="TOC3">
    <w:name w:val="toc 3"/>
    <w:basedOn w:val="Normal"/>
    <w:next w:val="Normal"/>
    <w:autoRedefine/>
    <w:rsid w:val="00027E70"/>
    <w:pPr>
      <w:ind w:left="24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rsid w:val="00027E70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027E70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027E70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027E70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027E70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027E70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D771B0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D77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A766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375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7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75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7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75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TaxHTField0 xmlns="3bc4ffac-db66-4629-a2a4-198b686804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 Organisation and Information</TermName>
          <TermId xmlns="http://schemas.microsoft.com/office/infopath/2007/PartnerControls">0f4df9c4-cefd-48ba-b653-85e83accd402</TermId>
        </TermInfo>
      </Terms>
    </TeamTaxHTField0>
    <TaxCatchAll xmlns="3bc4ffac-db66-4629-a2a4-198b68680464">
      <Value>2</Value>
      <Value>1</Value>
    </TaxCatchAll>
    <ClassificationTaxHTField0 xmlns="3bc4ffac-db66-4629-a2a4-198b686804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of schools</TermName>
          <TermId xmlns="http://schemas.microsoft.com/office/infopath/2007/PartnerControls">7890e601-1a27-43c4-a2eb-e859e81a3759</TermId>
        </TermInfo>
      </Terms>
    </ClassificationTaxHTField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9e6b2a5-9911-436b-be0b-29583905b62b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CC677675E1F418620CF30E568D42D" ma:contentTypeVersion="0" ma:contentTypeDescription="Create a new document." ma:contentTypeScope="" ma:versionID="2c02848efbb92b65c784967864f60d3c">
  <xsd:schema xmlns:xsd="http://www.w3.org/2001/XMLSchema" xmlns:xs="http://www.w3.org/2001/XMLSchema" xmlns:p="http://schemas.microsoft.com/office/2006/metadata/properties" xmlns:ns2="3bc4ffac-db66-4629-a2a4-198b68680464" targetNamespace="http://schemas.microsoft.com/office/2006/metadata/properties" ma:root="true" ma:fieldsID="115c05231f70b07f476fc7689aa6c566" ns2:_="">
    <xsd:import namespace="3bc4ffac-db66-4629-a2a4-198b68680464"/>
    <xsd:element name="properties">
      <xsd:complexType>
        <xsd:sequence>
          <xsd:element name="documentManagement">
            <xsd:complexType>
              <xsd:all>
                <xsd:element ref="ns2:ClassificationTaxHTField0" minOccurs="0"/>
                <xsd:element ref="ns2:TaxCatchAll" minOccurs="0"/>
                <xsd:element ref="ns2:TaxCatchAllLabel" minOccurs="0"/>
                <xsd:element ref="ns2:Team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4ffac-db66-4629-a2a4-198b68680464" elementFormDefault="qualified">
    <xsd:import namespace="http://schemas.microsoft.com/office/2006/documentManagement/types"/>
    <xsd:import namespace="http://schemas.microsoft.com/office/infopath/2007/PartnerControls"/>
    <xsd:element name="ClassificationTaxHTField0" ma:index="8" ma:taxonomy="true" ma:internalName="ClassificationTaxHTField0" ma:taxonomyFieldName="Classification" ma:displayName="Classification" ma:default="2;#Management of schools|7890e601-1a27-43c4-a2eb-e859e81a3759" ma:fieldId="{19494d79-bf9d-4552-918b-02870678aabd}" ma:sspId="09e6b2a5-9911-436b-be0b-29583905b62b" ma:termSetId="951b0fb9-a83f-45b8-9f91-c86fdc52d8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09df14a-1b2c-4ed7-800e-42d74be44800}" ma:internalName="TaxCatchAll" ma:showField="CatchAllData" ma:web="caa4cf23-1def-4b0b-a1b5-5f75a5e6d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09df14a-1b2c-4ed7-800e-42d74be44800}" ma:internalName="TaxCatchAllLabel" ma:readOnly="true" ma:showField="CatchAllDataLabel" ma:web="caa4cf23-1def-4b0b-a1b5-5f75a5e6d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amTaxHTField0" ma:index="12" ma:taxonomy="true" ma:internalName="TeamTaxHTField0" ma:taxonomyFieldName="Team" ma:displayName="Team" ma:default="1;#Schools Organisation and Information|0f4df9c4-cefd-48ba-b653-85e83accd402" ma:fieldId="{2927cad6-1ed1-4d21-8d47-2b1091ad3ead}" ma:sspId="09e6b2a5-9911-436b-be0b-29583905b62b" ma:termSetId="e61e59da-7bd7-434d-a2a9-0bc1470593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31035-27C5-49E4-8B4C-9FE80EAEE99B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3bc4ffac-db66-4629-a2a4-198b6868046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61FF6A-6AB1-44E8-B8B8-F8F70D693B3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46144C-7490-4E9B-8F6F-B8B990811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8148C-8BD4-4BB3-AA4D-EA75DC3BEC4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EFFAF0E-8AAF-418D-8FD5-FECFE71B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4ffac-db66-4629-a2a4-198b68680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F5D571D-6A31-4929-80B7-2F16FC29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4751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Director: Andrew Wallhead</vt:lpstr>
    </vt:vector>
  </TitlesOfParts>
  <Company>Wakefield MDC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Director: Andrew Wallhead</dc:title>
  <dc:creator>itsupport</dc:creator>
  <cp:lastModifiedBy>McDermott, Adam</cp:lastModifiedBy>
  <cp:revision>2</cp:revision>
  <cp:lastPrinted>2015-03-04T16:31:00Z</cp:lastPrinted>
  <dcterms:created xsi:type="dcterms:W3CDTF">2015-09-24T10:38:00Z</dcterms:created>
  <dcterms:modified xsi:type="dcterms:W3CDTF">2015-09-24T10:38:00Z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0x010100338CC677675E1F418620CF30E568D42D</vt:lpwstr>
  </property>
  <property fmtid="{D5CDD505-2E9C-101B-9397-08002B2CF9AE}" pid="3" name="Classification">
    <vt:lpwstr>2;#Management of schools|7890e601-1a27-43c4-a2eb-e859e81a3759</vt:lpwstr>
  </property>
  <property fmtid="{D5CDD505-2E9C-101B-9397-08002B2CF9AE}" pid="4" name="Team">
    <vt:lpwstr>1;#Schools Organisation and Information|0f4df9c4-cefd-48ba-b653-85e83accd402</vt:lpwstr>
  </property>
</Properties>
</file>