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0A" w:rsidRPr="00E36B3E" w:rsidRDefault="00BD2E0A" w:rsidP="00E36B3E">
      <w:pPr>
        <w:spacing w:after="0" w:line="240" w:lineRule="auto"/>
        <w:jc w:val="center"/>
        <w:rPr>
          <w:rFonts w:ascii="Arial" w:hAnsi="Arial" w:cs="Arial"/>
          <w:b/>
          <w:sz w:val="28"/>
          <w:szCs w:val="24"/>
        </w:rPr>
      </w:pPr>
      <w:r w:rsidRPr="00E36B3E">
        <w:rPr>
          <w:rFonts w:ascii="Arial" w:hAnsi="Arial" w:cs="Arial"/>
          <w:b/>
          <w:sz w:val="28"/>
          <w:szCs w:val="24"/>
        </w:rPr>
        <w:t>Appendix 2 – Personal Budget Inclusions and Exclusions</w:t>
      </w:r>
    </w:p>
    <w:p w:rsidR="00BD2E0A" w:rsidRDefault="00BD2E0A" w:rsidP="00E36B3E">
      <w:pPr>
        <w:spacing w:after="0" w:line="240" w:lineRule="auto"/>
        <w:jc w:val="center"/>
        <w:rPr>
          <w:rFonts w:ascii="Arial" w:hAnsi="Arial" w:cs="Arial"/>
          <w:b/>
          <w:sz w:val="24"/>
          <w:szCs w:val="24"/>
        </w:rPr>
      </w:pPr>
      <w:r w:rsidRPr="00E36B3E">
        <w:rPr>
          <w:rFonts w:ascii="Arial" w:hAnsi="Arial" w:cs="Arial"/>
          <w:b/>
          <w:sz w:val="24"/>
          <w:szCs w:val="24"/>
        </w:rPr>
        <w:t>Updated: 01-08-2016</w:t>
      </w:r>
    </w:p>
    <w:p w:rsidR="00E36B3E" w:rsidRDefault="00E36B3E" w:rsidP="00E36B3E">
      <w:pPr>
        <w:spacing w:after="0" w:line="240" w:lineRule="auto"/>
        <w:rPr>
          <w:rFonts w:ascii="Arial" w:hAnsi="Arial" w:cs="Arial"/>
          <w:b/>
        </w:rPr>
      </w:pPr>
    </w:p>
    <w:p w:rsidR="006C7294" w:rsidRDefault="006C7294" w:rsidP="00E36B3E">
      <w:pPr>
        <w:spacing w:after="0" w:line="240" w:lineRule="auto"/>
        <w:rPr>
          <w:rFonts w:ascii="Arial" w:hAnsi="Arial" w:cs="Arial"/>
          <w:b/>
        </w:rPr>
      </w:pPr>
    </w:p>
    <w:p w:rsidR="006C7294" w:rsidRPr="006C7294" w:rsidRDefault="006C7294" w:rsidP="00E36B3E">
      <w:pPr>
        <w:spacing w:after="0" w:line="240" w:lineRule="auto"/>
        <w:rPr>
          <w:rFonts w:ascii="Arial" w:hAnsi="Arial" w:cs="Arial"/>
          <w:b/>
        </w:rPr>
      </w:pPr>
    </w:p>
    <w:p w:rsidR="00BD2E0A" w:rsidRPr="006C7294" w:rsidRDefault="00BD2E0A" w:rsidP="00E36B3E">
      <w:pPr>
        <w:pStyle w:val="ListParagraph"/>
        <w:numPr>
          <w:ilvl w:val="0"/>
          <w:numId w:val="5"/>
        </w:numPr>
        <w:spacing w:after="0" w:line="240" w:lineRule="auto"/>
        <w:rPr>
          <w:rFonts w:ascii="Arial" w:hAnsi="Arial" w:cs="Arial"/>
          <w:b/>
        </w:rPr>
      </w:pPr>
      <w:r w:rsidRPr="006C7294">
        <w:rPr>
          <w:rFonts w:ascii="Arial" w:hAnsi="Arial" w:cs="Arial"/>
          <w:b/>
        </w:rPr>
        <w:t>Education (aged up to 25 years in full time education)</w:t>
      </w:r>
    </w:p>
    <w:p w:rsidR="00E36B3E" w:rsidRPr="006C7294" w:rsidRDefault="00E36B3E" w:rsidP="00E36B3E">
      <w:pPr>
        <w:pStyle w:val="ListParagraph"/>
        <w:spacing w:after="0" w:line="240" w:lineRule="auto"/>
        <w:rPr>
          <w:rFonts w:ascii="Arial" w:hAnsi="Arial" w:cs="Arial"/>
          <w:b/>
        </w:rPr>
      </w:pPr>
    </w:p>
    <w:p w:rsidR="00BD2E0A" w:rsidRPr="006C7294" w:rsidRDefault="003946FC" w:rsidP="00E36B3E">
      <w:pPr>
        <w:spacing w:after="0" w:line="240" w:lineRule="auto"/>
        <w:ind w:left="360"/>
        <w:rPr>
          <w:rFonts w:ascii="Arial" w:hAnsi="Arial" w:cs="Arial"/>
        </w:rPr>
      </w:pPr>
      <w:r w:rsidRPr="006C7294">
        <w:rPr>
          <w:rFonts w:ascii="Arial" w:hAnsi="Arial" w:cs="Arial"/>
        </w:rPr>
        <w:t>S</w:t>
      </w:r>
      <w:r w:rsidR="00BD2E0A" w:rsidRPr="006C7294">
        <w:rPr>
          <w:rFonts w:ascii="Arial" w:hAnsi="Arial" w:cs="Arial"/>
        </w:rPr>
        <w:t>chools and colleges receive funding to support children and young people in three elements:</w:t>
      </w:r>
    </w:p>
    <w:p w:rsidR="00E36B3E" w:rsidRPr="006C7294" w:rsidRDefault="00E36B3E" w:rsidP="00E36B3E">
      <w:pPr>
        <w:spacing w:after="0" w:line="240" w:lineRule="auto"/>
        <w:ind w:left="360"/>
        <w:rPr>
          <w:rFonts w:ascii="Arial" w:hAnsi="Arial" w:cs="Arial"/>
          <w:b/>
        </w:rPr>
      </w:pPr>
    </w:p>
    <w:tbl>
      <w:tblPr>
        <w:tblStyle w:val="TableGrid"/>
        <w:tblW w:w="14850" w:type="dxa"/>
        <w:tblLook w:val="04A0" w:firstRow="1" w:lastRow="0" w:firstColumn="1" w:lastColumn="0" w:noHBand="0" w:noVBand="1"/>
      </w:tblPr>
      <w:tblGrid>
        <w:gridCol w:w="1526"/>
        <w:gridCol w:w="1964"/>
        <w:gridCol w:w="2147"/>
        <w:gridCol w:w="9213"/>
      </w:tblGrid>
      <w:tr w:rsidR="00D7382A" w:rsidRPr="006C7294" w:rsidTr="006C7294">
        <w:tc>
          <w:tcPr>
            <w:tcW w:w="1526" w:type="dxa"/>
          </w:tcPr>
          <w:p w:rsidR="00D7382A" w:rsidRPr="006C7294" w:rsidRDefault="00D7382A" w:rsidP="003946FC">
            <w:pPr>
              <w:jc w:val="center"/>
              <w:rPr>
                <w:rFonts w:ascii="Arial" w:hAnsi="Arial" w:cs="Arial"/>
                <w:b/>
              </w:rPr>
            </w:pPr>
            <w:r w:rsidRPr="006C7294">
              <w:rPr>
                <w:rFonts w:ascii="Arial" w:hAnsi="Arial" w:cs="Arial"/>
                <w:b/>
              </w:rPr>
              <w:t>Service or Area</w:t>
            </w:r>
          </w:p>
        </w:tc>
        <w:tc>
          <w:tcPr>
            <w:tcW w:w="1964" w:type="dxa"/>
          </w:tcPr>
          <w:p w:rsidR="00D7382A" w:rsidRPr="006C7294" w:rsidRDefault="00D7382A" w:rsidP="003946FC">
            <w:pPr>
              <w:jc w:val="center"/>
              <w:rPr>
                <w:rFonts w:ascii="Arial" w:hAnsi="Arial" w:cs="Arial"/>
                <w:b/>
              </w:rPr>
            </w:pPr>
            <w:r w:rsidRPr="006C7294">
              <w:rPr>
                <w:rFonts w:ascii="Arial" w:hAnsi="Arial" w:cs="Arial"/>
                <w:b/>
              </w:rPr>
              <w:t>Available as a Personal Budget</w:t>
            </w:r>
          </w:p>
        </w:tc>
        <w:tc>
          <w:tcPr>
            <w:tcW w:w="2147" w:type="dxa"/>
          </w:tcPr>
          <w:p w:rsidR="00D7382A" w:rsidRPr="006C7294" w:rsidRDefault="00D7382A" w:rsidP="003946FC">
            <w:pPr>
              <w:jc w:val="center"/>
              <w:rPr>
                <w:rFonts w:ascii="Arial" w:hAnsi="Arial" w:cs="Arial"/>
                <w:b/>
              </w:rPr>
            </w:pPr>
            <w:r w:rsidRPr="006C7294">
              <w:rPr>
                <w:rFonts w:ascii="Arial" w:hAnsi="Arial" w:cs="Arial"/>
                <w:b/>
              </w:rPr>
              <w:t>Available as a Cash Budget (Direct Payment)</w:t>
            </w:r>
          </w:p>
        </w:tc>
        <w:tc>
          <w:tcPr>
            <w:tcW w:w="9213" w:type="dxa"/>
          </w:tcPr>
          <w:p w:rsidR="00D7382A" w:rsidRPr="006C7294" w:rsidRDefault="00D7382A" w:rsidP="003946FC">
            <w:pPr>
              <w:jc w:val="center"/>
              <w:rPr>
                <w:rFonts w:ascii="Arial" w:hAnsi="Arial" w:cs="Arial"/>
                <w:b/>
              </w:rPr>
            </w:pPr>
            <w:r w:rsidRPr="006C7294">
              <w:rPr>
                <w:rFonts w:ascii="Arial" w:hAnsi="Arial" w:cs="Arial"/>
                <w:b/>
              </w:rPr>
              <w:t>Description or Explanation</w:t>
            </w:r>
          </w:p>
        </w:tc>
      </w:tr>
      <w:tr w:rsidR="00D7382A" w:rsidRPr="006C7294" w:rsidTr="006C7294">
        <w:tc>
          <w:tcPr>
            <w:tcW w:w="1526" w:type="dxa"/>
          </w:tcPr>
          <w:p w:rsidR="00D7382A" w:rsidRPr="006C7294" w:rsidRDefault="00D7382A" w:rsidP="00E36B3E">
            <w:pPr>
              <w:rPr>
                <w:rFonts w:ascii="Arial" w:hAnsi="Arial" w:cs="Arial"/>
              </w:rPr>
            </w:pPr>
            <w:r w:rsidRPr="006C7294">
              <w:rPr>
                <w:rFonts w:ascii="Arial" w:hAnsi="Arial" w:cs="Arial"/>
              </w:rPr>
              <w:t>Element 1 Funding</w:t>
            </w:r>
          </w:p>
          <w:p w:rsidR="006C7294" w:rsidRPr="006C7294" w:rsidRDefault="006C7294" w:rsidP="00E36B3E">
            <w:pPr>
              <w:rPr>
                <w:rFonts w:ascii="Arial" w:hAnsi="Arial" w:cs="Arial"/>
              </w:rPr>
            </w:pPr>
          </w:p>
        </w:tc>
        <w:tc>
          <w:tcPr>
            <w:tcW w:w="1964" w:type="dxa"/>
          </w:tcPr>
          <w:p w:rsidR="00D7382A" w:rsidRPr="006C7294" w:rsidRDefault="00D7382A" w:rsidP="003946FC">
            <w:pPr>
              <w:jc w:val="center"/>
              <w:rPr>
                <w:rFonts w:ascii="Arial" w:hAnsi="Arial" w:cs="Arial"/>
              </w:rPr>
            </w:pPr>
            <w:r w:rsidRPr="006C7294">
              <w:rPr>
                <w:rFonts w:ascii="Arial" w:hAnsi="Arial" w:cs="Arial"/>
              </w:rPr>
              <w:t>No</w:t>
            </w:r>
          </w:p>
        </w:tc>
        <w:tc>
          <w:tcPr>
            <w:tcW w:w="2147" w:type="dxa"/>
          </w:tcPr>
          <w:p w:rsidR="00D7382A" w:rsidRPr="006C7294" w:rsidRDefault="00D7382A" w:rsidP="003946FC">
            <w:pPr>
              <w:jc w:val="center"/>
              <w:rPr>
                <w:rFonts w:ascii="Arial" w:hAnsi="Arial" w:cs="Arial"/>
              </w:rPr>
            </w:pPr>
            <w:r w:rsidRPr="006C7294">
              <w:rPr>
                <w:rFonts w:ascii="Arial" w:hAnsi="Arial" w:cs="Arial"/>
              </w:rPr>
              <w:t>No</w:t>
            </w:r>
          </w:p>
        </w:tc>
        <w:tc>
          <w:tcPr>
            <w:tcW w:w="9213" w:type="dxa"/>
          </w:tcPr>
          <w:p w:rsidR="00D7382A" w:rsidRPr="006C7294" w:rsidRDefault="00D7382A" w:rsidP="003946FC">
            <w:pPr>
              <w:pStyle w:val="ListParagraph"/>
              <w:numPr>
                <w:ilvl w:val="0"/>
                <w:numId w:val="8"/>
              </w:numPr>
              <w:rPr>
                <w:rFonts w:ascii="Arial" w:hAnsi="Arial" w:cs="Arial"/>
                <w:b/>
              </w:rPr>
            </w:pPr>
            <w:r w:rsidRPr="006C7294">
              <w:rPr>
                <w:rFonts w:ascii="Arial" w:hAnsi="Arial" w:cs="Arial"/>
              </w:rPr>
              <w:t xml:space="preserve">This is standard placement funding and cannot be taken as a personal budget. </w:t>
            </w:r>
          </w:p>
        </w:tc>
      </w:tr>
      <w:tr w:rsidR="00D7382A" w:rsidRPr="006C7294" w:rsidTr="006C7294">
        <w:tc>
          <w:tcPr>
            <w:tcW w:w="1526" w:type="dxa"/>
          </w:tcPr>
          <w:p w:rsidR="00D7382A" w:rsidRPr="006C7294" w:rsidRDefault="00D7382A" w:rsidP="00E36B3E">
            <w:pPr>
              <w:rPr>
                <w:rFonts w:ascii="Arial" w:hAnsi="Arial" w:cs="Arial"/>
              </w:rPr>
            </w:pPr>
            <w:r w:rsidRPr="006C7294">
              <w:rPr>
                <w:rFonts w:ascii="Arial" w:hAnsi="Arial" w:cs="Arial"/>
              </w:rPr>
              <w:t>Element 2 Funding</w:t>
            </w:r>
          </w:p>
        </w:tc>
        <w:tc>
          <w:tcPr>
            <w:tcW w:w="1964" w:type="dxa"/>
          </w:tcPr>
          <w:p w:rsidR="00D7382A" w:rsidRPr="006C7294" w:rsidRDefault="00D7382A" w:rsidP="003946FC">
            <w:pPr>
              <w:jc w:val="center"/>
              <w:rPr>
                <w:rFonts w:ascii="Arial" w:hAnsi="Arial" w:cs="Arial"/>
              </w:rPr>
            </w:pPr>
            <w:r w:rsidRPr="006C7294">
              <w:rPr>
                <w:rFonts w:ascii="Arial" w:hAnsi="Arial" w:cs="Arial"/>
              </w:rPr>
              <w:t>No</w:t>
            </w:r>
          </w:p>
        </w:tc>
        <w:tc>
          <w:tcPr>
            <w:tcW w:w="2147" w:type="dxa"/>
          </w:tcPr>
          <w:p w:rsidR="00D7382A" w:rsidRPr="006C7294" w:rsidRDefault="00D7382A" w:rsidP="003946FC">
            <w:pPr>
              <w:jc w:val="center"/>
              <w:rPr>
                <w:rFonts w:ascii="Arial" w:hAnsi="Arial" w:cs="Arial"/>
              </w:rPr>
            </w:pPr>
            <w:r w:rsidRPr="006C7294">
              <w:rPr>
                <w:rFonts w:ascii="Arial" w:hAnsi="Arial" w:cs="Arial"/>
              </w:rPr>
              <w:t>No</w:t>
            </w:r>
          </w:p>
        </w:tc>
        <w:tc>
          <w:tcPr>
            <w:tcW w:w="9213" w:type="dxa"/>
          </w:tcPr>
          <w:p w:rsidR="003946FC" w:rsidRPr="006C7294" w:rsidRDefault="00D7382A" w:rsidP="003946FC">
            <w:pPr>
              <w:pStyle w:val="ListParagraph"/>
              <w:numPr>
                <w:ilvl w:val="0"/>
                <w:numId w:val="7"/>
              </w:numPr>
              <w:rPr>
                <w:rFonts w:ascii="Arial" w:hAnsi="Arial" w:cs="Arial"/>
              </w:rPr>
            </w:pPr>
            <w:r w:rsidRPr="006C7294">
              <w:rPr>
                <w:rFonts w:ascii="Arial" w:hAnsi="Arial" w:cs="Arial"/>
              </w:rPr>
              <w:t xml:space="preserve">This is funding, up to £6,000 to provide extra individual help for lower level SEN needs. (SEN Support)  </w:t>
            </w:r>
          </w:p>
          <w:p w:rsidR="00D7382A" w:rsidRPr="006C7294" w:rsidRDefault="00D7382A" w:rsidP="003946FC">
            <w:pPr>
              <w:pStyle w:val="ListParagraph"/>
              <w:numPr>
                <w:ilvl w:val="0"/>
                <w:numId w:val="7"/>
              </w:numPr>
              <w:rPr>
                <w:rFonts w:ascii="Arial" w:hAnsi="Arial" w:cs="Arial"/>
                <w:b/>
              </w:rPr>
            </w:pPr>
            <w:r w:rsidRPr="006C7294">
              <w:rPr>
                <w:rFonts w:ascii="Arial" w:hAnsi="Arial" w:cs="Arial"/>
              </w:rPr>
              <w:t>It cannot be taken as a personal budget.</w:t>
            </w:r>
          </w:p>
          <w:p w:rsidR="006C7294" w:rsidRPr="006C7294" w:rsidRDefault="006C7294" w:rsidP="003946FC">
            <w:pPr>
              <w:pStyle w:val="ListParagraph"/>
              <w:numPr>
                <w:ilvl w:val="0"/>
                <w:numId w:val="7"/>
              </w:numPr>
              <w:rPr>
                <w:rFonts w:ascii="Arial" w:hAnsi="Arial" w:cs="Arial"/>
                <w:b/>
              </w:rPr>
            </w:pPr>
          </w:p>
        </w:tc>
      </w:tr>
      <w:tr w:rsidR="00D7382A" w:rsidRPr="006C7294" w:rsidTr="006C7294">
        <w:tc>
          <w:tcPr>
            <w:tcW w:w="1526" w:type="dxa"/>
          </w:tcPr>
          <w:p w:rsidR="00D7382A" w:rsidRPr="006C7294" w:rsidRDefault="00D7382A" w:rsidP="00E36B3E">
            <w:pPr>
              <w:rPr>
                <w:rFonts w:ascii="Arial" w:hAnsi="Arial" w:cs="Arial"/>
              </w:rPr>
            </w:pPr>
            <w:r w:rsidRPr="006C7294">
              <w:rPr>
                <w:rFonts w:ascii="Arial" w:hAnsi="Arial" w:cs="Arial"/>
              </w:rPr>
              <w:t>Element 3 Funding</w:t>
            </w:r>
          </w:p>
        </w:tc>
        <w:tc>
          <w:tcPr>
            <w:tcW w:w="1964" w:type="dxa"/>
          </w:tcPr>
          <w:p w:rsidR="00D7382A" w:rsidRPr="006C7294" w:rsidRDefault="00D7382A" w:rsidP="003946FC">
            <w:pPr>
              <w:jc w:val="center"/>
              <w:rPr>
                <w:rFonts w:ascii="Arial" w:hAnsi="Arial" w:cs="Arial"/>
              </w:rPr>
            </w:pPr>
            <w:r w:rsidRPr="006C7294">
              <w:rPr>
                <w:rFonts w:ascii="Arial" w:hAnsi="Arial" w:cs="Arial"/>
              </w:rPr>
              <w:t>Yes, with consent of the education provider</w:t>
            </w:r>
          </w:p>
        </w:tc>
        <w:tc>
          <w:tcPr>
            <w:tcW w:w="2147" w:type="dxa"/>
          </w:tcPr>
          <w:p w:rsidR="00D7382A" w:rsidRPr="006C7294" w:rsidRDefault="00D7382A" w:rsidP="003946FC">
            <w:pPr>
              <w:jc w:val="center"/>
              <w:rPr>
                <w:rFonts w:ascii="Arial" w:hAnsi="Arial" w:cs="Arial"/>
              </w:rPr>
            </w:pPr>
            <w:r w:rsidRPr="006C7294">
              <w:rPr>
                <w:rFonts w:ascii="Arial" w:hAnsi="Arial" w:cs="Arial"/>
              </w:rPr>
              <w:t>Yes, with consent of the education provider</w:t>
            </w:r>
          </w:p>
        </w:tc>
        <w:tc>
          <w:tcPr>
            <w:tcW w:w="9213" w:type="dxa"/>
          </w:tcPr>
          <w:p w:rsidR="003946FC" w:rsidRPr="006C7294" w:rsidRDefault="00D7382A" w:rsidP="003946FC">
            <w:pPr>
              <w:pStyle w:val="ListParagraph"/>
              <w:numPr>
                <w:ilvl w:val="0"/>
                <w:numId w:val="6"/>
              </w:numPr>
              <w:rPr>
                <w:rFonts w:ascii="Arial" w:hAnsi="Arial" w:cs="Arial"/>
              </w:rPr>
            </w:pPr>
            <w:r w:rsidRPr="006C7294">
              <w:rPr>
                <w:rFonts w:ascii="Arial" w:hAnsi="Arial" w:cs="Arial"/>
              </w:rPr>
              <w:t>Element 3 funding</w:t>
            </w:r>
            <w:r w:rsidR="003946FC" w:rsidRPr="006C7294">
              <w:rPr>
                <w:rFonts w:ascii="Arial" w:hAnsi="Arial" w:cs="Arial"/>
              </w:rPr>
              <w:t>, (usually to a maximum of £4,000)</w:t>
            </w:r>
            <w:r w:rsidRPr="006C7294">
              <w:rPr>
                <w:rFonts w:ascii="Arial" w:hAnsi="Arial" w:cs="Arial"/>
              </w:rPr>
              <w:t xml:space="preserve"> may be made available for use as a Personal Budget, for interventions to meet an individual’s needs (in agreement with the education provider). </w:t>
            </w:r>
          </w:p>
          <w:p w:rsidR="003946FC" w:rsidRPr="006C7294" w:rsidRDefault="00D7382A" w:rsidP="003946FC">
            <w:pPr>
              <w:pStyle w:val="ListParagraph"/>
              <w:numPr>
                <w:ilvl w:val="0"/>
                <w:numId w:val="6"/>
              </w:numPr>
              <w:rPr>
                <w:rFonts w:ascii="Arial" w:hAnsi="Arial" w:cs="Arial"/>
              </w:rPr>
            </w:pPr>
            <w:r w:rsidRPr="006C7294">
              <w:rPr>
                <w:rFonts w:ascii="Arial" w:hAnsi="Arial" w:cs="Arial"/>
              </w:rPr>
              <w:t xml:space="preserve">This can only be included with the agreement of the school or college. It is not always possible for a school or college to release element 3 funding into a Personal Budget because it may be part of the existing overall provision.  </w:t>
            </w:r>
          </w:p>
          <w:p w:rsidR="00D7382A" w:rsidRPr="006C7294" w:rsidRDefault="00D7382A" w:rsidP="003946FC">
            <w:pPr>
              <w:pStyle w:val="ListParagraph"/>
              <w:numPr>
                <w:ilvl w:val="0"/>
                <w:numId w:val="6"/>
              </w:numPr>
              <w:rPr>
                <w:rFonts w:ascii="Arial" w:hAnsi="Arial" w:cs="Arial"/>
              </w:rPr>
            </w:pPr>
            <w:r w:rsidRPr="006C7294">
              <w:rPr>
                <w:rFonts w:ascii="Arial" w:hAnsi="Arial" w:cs="Arial"/>
              </w:rPr>
              <w:t>Any staff employed by parents/ young people to work within a school or college would have to have the school or college permission (usually the Head Teacher or Principal).Therefore this would need to be carefully planned.</w:t>
            </w:r>
          </w:p>
          <w:p w:rsidR="00D7382A" w:rsidRPr="006C7294" w:rsidRDefault="00D7382A" w:rsidP="00E36B3E">
            <w:pPr>
              <w:rPr>
                <w:rFonts w:ascii="Arial" w:hAnsi="Arial" w:cs="Arial"/>
                <w:b/>
              </w:rPr>
            </w:pPr>
          </w:p>
        </w:tc>
      </w:tr>
    </w:tbl>
    <w:p w:rsidR="00BD2E0A" w:rsidRPr="006C7294" w:rsidRDefault="00BD2E0A" w:rsidP="00E36B3E">
      <w:pPr>
        <w:spacing w:after="0" w:line="240" w:lineRule="auto"/>
        <w:rPr>
          <w:rFonts w:ascii="Arial" w:hAnsi="Arial" w:cs="Arial"/>
          <w:b/>
        </w:rPr>
      </w:pPr>
    </w:p>
    <w:p w:rsidR="00BD2E0A" w:rsidRPr="006C7294" w:rsidRDefault="00BD2E0A" w:rsidP="00E36B3E">
      <w:pPr>
        <w:spacing w:after="0" w:line="240" w:lineRule="auto"/>
        <w:rPr>
          <w:rFonts w:ascii="Arial" w:hAnsi="Arial" w:cs="Arial"/>
          <w:lang w:val="en-US"/>
        </w:rPr>
      </w:pPr>
      <w:r w:rsidRPr="006C7294">
        <w:rPr>
          <w:rFonts w:ascii="Arial" w:hAnsi="Arial" w:cs="Arial"/>
          <w:lang w:val="en-US"/>
        </w:rPr>
        <w:t>In Children’s Services, a cash budget (Direct Payments) must not, and will not, be made for the purpose of funding a school place or post 16 institution (Code of Practice 9.119)</w:t>
      </w:r>
    </w:p>
    <w:p w:rsidR="00BD2E0A" w:rsidRPr="006C7294" w:rsidRDefault="00BD2E0A" w:rsidP="00E36B3E">
      <w:pPr>
        <w:spacing w:after="0" w:line="240" w:lineRule="auto"/>
        <w:rPr>
          <w:rFonts w:ascii="Arial" w:hAnsi="Arial" w:cs="Arial"/>
          <w:b/>
        </w:rPr>
      </w:pPr>
    </w:p>
    <w:p w:rsidR="00E36B3E" w:rsidRDefault="00E36B3E" w:rsidP="00E36B3E">
      <w:pPr>
        <w:spacing w:after="0" w:line="240" w:lineRule="auto"/>
        <w:rPr>
          <w:rFonts w:ascii="Arial" w:hAnsi="Arial" w:cs="Arial"/>
          <w:b/>
        </w:rPr>
      </w:pPr>
    </w:p>
    <w:p w:rsidR="006C7294" w:rsidRDefault="006C7294" w:rsidP="00E36B3E">
      <w:pPr>
        <w:spacing w:after="0" w:line="240" w:lineRule="auto"/>
        <w:rPr>
          <w:rFonts w:ascii="Arial" w:hAnsi="Arial" w:cs="Arial"/>
          <w:b/>
        </w:rPr>
      </w:pPr>
    </w:p>
    <w:p w:rsidR="006C7294" w:rsidRDefault="006C7294" w:rsidP="00E36B3E">
      <w:pPr>
        <w:spacing w:after="0" w:line="240" w:lineRule="auto"/>
        <w:rPr>
          <w:rFonts w:ascii="Arial" w:hAnsi="Arial" w:cs="Arial"/>
          <w:b/>
        </w:rPr>
      </w:pPr>
    </w:p>
    <w:p w:rsidR="00BD2E0A" w:rsidRPr="006C7294" w:rsidRDefault="006F5255" w:rsidP="00E36B3E">
      <w:pPr>
        <w:pStyle w:val="ListParagraph"/>
        <w:numPr>
          <w:ilvl w:val="0"/>
          <w:numId w:val="5"/>
        </w:numPr>
        <w:spacing w:after="0" w:line="240" w:lineRule="auto"/>
        <w:rPr>
          <w:rFonts w:ascii="Arial" w:hAnsi="Arial" w:cs="Arial"/>
          <w:b/>
        </w:rPr>
      </w:pPr>
      <w:r w:rsidRPr="006C7294">
        <w:rPr>
          <w:rFonts w:ascii="Arial" w:hAnsi="Arial" w:cs="Arial"/>
          <w:b/>
        </w:rPr>
        <w:lastRenderedPageBreak/>
        <w:t xml:space="preserve">Children’s Social </w:t>
      </w:r>
      <w:r w:rsidR="00BD2E0A" w:rsidRPr="006C7294">
        <w:rPr>
          <w:rFonts w:ascii="Arial" w:hAnsi="Arial" w:cs="Arial"/>
          <w:b/>
        </w:rPr>
        <w:t>Care (aged up to 18 years)</w:t>
      </w:r>
    </w:p>
    <w:p w:rsidR="00E36B3E" w:rsidRPr="006C7294" w:rsidRDefault="00E36B3E" w:rsidP="00E36B3E">
      <w:pPr>
        <w:pStyle w:val="ListParagraph"/>
        <w:spacing w:after="0" w:line="240" w:lineRule="auto"/>
        <w:rPr>
          <w:rFonts w:ascii="Arial" w:hAnsi="Arial" w:cs="Arial"/>
          <w:b/>
        </w:rPr>
      </w:pPr>
    </w:p>
    <w:p w:rsidR="006F5255" w:rsidRDefault="00BD2E0A" w:rsidP="006C7294">
      <w:pPr>
        <w:pStyle w:val="ListParagraph"/>
        <w:spacing w:after="0" w:line="240" w:lineRule="auto"/>
        <w:ind w:left="360"/>
        <w:rPr>
          <w:rFonts w:ascii="Arial" w:hAnsi="Arial" w:cs="Arial"/>
        </w:rPr>
      </w:pPr>
      <w:r w:rsidRPr="006C7294">
        <w:rPr>
          <w:rFonts w:ascii="Arial" w:hAnsi="Arial" w:cs="Arial"/>
        </w:rPr>
        <w:t>When universal and targeted services cannot support the family sufficiently to meet the child’s needs, a holistic assessment will be carried out at the family’s request to identify unmet needs.</w:t>
      </w:r>
    </w:p>
    <w:p w:rsidR="006C7294" w:rsidRPr="006C7294" w:rsidRDefault="006C7294" w:rsidP="006C7294">
      <w:pPr>
        <w:pStyle w:val="ListParagraph"/>
        <w:spacing w:after="0" w:line="240" w:lineRule="auto"/>
        <w:ind w:left="360"/>
        <w:rPr>
          <w:rFonts w:ascii="Arial" w:hAnsi="Arial" w:cs="Arial"/>
          <w:sz w:val="12"/>
        </w:rPr>
      </w:pPr>
    </w:p>
    <w:tbl>
      <w:tblPr>
        <w:tblStyle w:val="TableGrid"/>
        <w:tblW w:w="0" w:type="auto"/>
        <w:tblLook w:val="04A0" w:firstRow="1" w:lastRow="0" w:firstColumn="1" w:lastColumn="0" w:noHBand="0" w:noVBand="1"/>
      </w:tblPr>
      <w:tblGrid>
        <w:gridCol w:w="1714"/>
        <w:gridCol w:w="1513"/>
        <w:gridCol w:w="1984"/>
        <w:gridCol w:w="9498"/>
      </w:tblGrid>
      <w:tr w:rsidR="00D7382A" w:rsidRPr="006C7294" w:rsidTr="006C7294">
        <w:tc>
          <w:tcPr>
            <w:tcW w:w="1714" w:type="dxa"/>
          </w:tcPr>
          <w:p w:rsidR="00D7382A" w:rsidRPr="006C7294" w:rsidRDefault="00D7382A" w:rsidP="003946FC">
            <w:pPr>
              <w:jc w:val="center"/>
              <w:rPr>
                <w:rFonts w:ascii="Arial" w:hAnsi="Arial" w:cs="Arial"/>
                <w:b/>
              </w:rPr>
            </w:pPr>
            <w:r w:rsidRPr="006C7294">
              <w:rPr>
                <w:rFonts w:ascii="Arial" w:hAnsi="Arial" w:cs="Arial"/>
                <w:b/>
              </w:rPr>
              <w:t>Service or Area</w:t>
            </w:r>
          </w:p>
        </w:tc>
        <w:tc>
          <w:tcPr>
            <w:tcW w:w="1513" w:type="dxa"/>
          </w:tcPr>
          <w:p w:rsidR="00D7382A" w:rsidRPr="006C7294" w:rsidRDefault="00D7382A" w:rsidP="003946FC">
            <w:pPr>
              <w:jc w:val="center"/>
              <w:rPr>
                <w:rFonts w:ascii="Arial" w:hAnsi="Arial" w:cs="Arial"/>
                <w:b/>
              </w:rPr>
            </w:pPr>
            <w:r w:rsidRPr="006C7294">
              <w:rPr>
                <w:rFonts w:ascii="Arial" w:hAnsi="Arial" w:cs="Arial"/>
                <w:b/>
              </w:rPr>
              <w:t>Available as a Personal Budget</w:t>
            </w:r>
          </w:p>
        </w:tc>
        <w:tc>
          <w:tcPr>
            <w:tcW w:w="1984" w:type="dxa"/>
          </w:tcPr>
          <w:p w:rsidR="00D7382A" w:rsidRPr="006C7294" w:rsidRDefault="00D7382A" w:rsidP="003946FC">
            <w:pPr>
              <w:jc w:val="center"/>
              <w:rPr>
                <w:rFonts w:ascii="Arial" w:hAnsi="Arial" w:cs="Arial"/>
                <w:b/>
              </w:rPr>
            </w:pPr>
            <w:r w:rsidRPr="006C7294">
              <w:rPr>
                <w:rFonts w:ascii="Arial" w:hAnsi="Arial" w:cs="Arial"/>
                <w:b/>
              </w:rPr>
              <w:t>Available as a Cash Budget (Direct Payment)</w:t>
            </w:r>
          </w:p>
        </w:tc>
        <w:tc>
          <w:tcPr>
            <w:tcW w:w="9498" w:type="dxa"/>
          </w:tcPr>
          <w:p w:rsidR="00D7382A" w:rsidRPr="006C7294" w:rsidRDefault="00D7382A" w:rsidP="003946FC">
            <w:pPr>
              <w:jc w:val="center"/>
              <w:rPr>
                <w:rFonts w:ascii="Arial" w:hAnsi="Arial" w:cs="Arial"/>
                <w:b/>
              </w:rPr>
            </w:pPr>
            <w:r w:rsidRPr="006C7294">
              <w:rPr>
                <w:rFonts w:ascii="Arial" w:hAnsi="Arial" w:cs="Arial"/>
                <w:b/>
              </w:rPr>
              <w:t>Description or Explanation</w:t>
            </w:r>
          </w:p>
        </w:tc>
      </w:tr>
      <w:tr w:rsidR="00D7382A" w:rsidRPr="006C7294" w:rsidTr="006C7294">
        <w:tc>
          <w:tcPr>
            <w:tcW w:w="1714" w:type="dxa"/>
          </w:tcPr>
          <w:p w:rsidR="00D7382A" w:rsidRPr="006C7294" w:rsidRDefault="00D7382A" w:rsidP="00E36B3E">
            <w:pPr>
              <w:rPr>
                <w:rFonts w:ascii="Arial" w:hAnsi="Arial" w:cs="Arial"/>
              </w:rPr>
            </w:pPr>
            <w:r w:rsidRPr="006C7294">
              <w:rPr>
                <w:rFonts w:ascii="Arial" w:hAnsi="Arial" w:cs="Arial"/>
              </w:rPr>
              <w:t>Short Breaks</w:t>
            </w:r>
          </w:p>
        </w:tc>
        <w:tc>
          <w:tcPr>
            <w:tcW w:w="1513" w:type="dxa"/>
          </w:tcPr>
          <w:p w:rsidR="00D7382A" w:rsidRPr="006C7294" w:rsidRDefault="00D7382A" w:rsidP="003946FC">
            <w:pPr>
              <w:jc w:val="center"/>
              <w:rPr>
                <w:rFonts w:ascii="Arial" w:hAnsi="Arial" w:cs="Arial"/>
              </w:rPr>
            </w:pPr>
            <w:r w:rsidRPr="006C7294">
              <w:rPr>
                <w:rFonts w:ascii="Arial" w:hAnsi="Arial" w:cs="Arial"/>
              </w:rPr>
              <w:t>Yes</w:t>
            </w:r>
          </w:p>
        </w:tc>
        <w:tc>
          <w:tcPr>
            <w:tcW w:w="1984" w:type="dxa"/>
          </w:tcPr>
          <w:p w:rsidR="00D7382A" w:rsidRPr="006C7294" w:rsidRDefault="00D7382A" w:rsidP="003946FC">
            <w:pPr>
              <w:jc w:val="center"/>
              <w:rPr>
                <w:rFonts w:ascii="Arial" w:hAnsi="Arial" w:cs="Arial"/>
              </w:rPr>
            </w:pPr>
            <w:r w:rsidRPr="006C7294">
              <w:rPr>
                <w:rFonts w:ascii="Arial" w:hAnsi="Arial" w:cs="Arial"/>
              </w:rPr>
              <w:t>Yes</w:t>
            </w:r>
          </w:p>
        </w:tc>
        <w:tc>
          <w:tcPr>
            <w:tcW w:w="9498" w:type="dxa"/>
          </w:tcPr>
          <w:p w:rsidR="00D7382A" w:rsidRPr="006C7294" w:rsidRDefault="00D7382A" w:rsidP="003946FC">
            <w:pPr>
              <w:pStyle w:val="ListParagraph"/>
              <w:numPr>
                <w:ilvl w:val="0"/>
                <w:numId w:val="11"/>
              </w:numPr>
              <w:rPr>
                <w:rFonts w:ascii="Arial" w:hAnsi="Arial" w:cs="Arial"/>
                <w:b/>
              </w:rPr>
            </w:pPr>
            <w:r w:rsidRPr="006C7294">
              <w:rPr>
                <w:rFonts w:ascii="Arial" w:hAnsi="Arial" w:cs="Arial"/>
              </w:rPr>
              <w:t>A personal budget may also include individual funding necessary to provide the family of a disabled child with a short break or family support that is not provided in a residential respite unit.</w:t>
            </w:r>
          </w:p>
          <w:p w:rsidR="006C7294" w:rsidRPr="006C7294" w:rsidRDefault="006C7294" w:rsidP="006C7294">
            <w:pPr>
              <w:pStyle w:val="ListParagraph"/>
              <w:ind w:left="360"/>
              <w:rPr>
                <w:rFonts w:ascii="Arial" w:hAnsi="Arial" w:cs="Arial"/>
                <w:b/>
                <w:sz w:val="8"/>
              </w:rPr>
            </w:pPr>
          </w:p>
        </w:tc>
      </w:tr>
      <w:tr w:rsidR="00D7382A" w:rsidRPr="006C7294" w:rsidTr="006C7294">
        <w:tc>
          <w:tcPr>
            <w:tcW w:w="1714" w:type="dxa"/>
          </w:tcPr>
          <w:p w:rsidR="00D7382A" w:rsidRPr="006C7294" w:rsidRDefault="00D7382A" w:rsidP="00E36B3E">
            <w:pPr>
              <w:rPr>
                <w:rFonts w:ascii="Arial" w:hAnsi="Arial" w:cs="Arial"/>
              </w:rPr>
            </w:pPr>
            <w:r w:rsidRPr="006C7294">
              <w:rPr>
                <w:rFonts w:ascii="Arial" w:hAnsi="Arial" w:cs="Arial"/>
              </w:rPr>
              <w:t>Overnight Short Breaks</w:t>
            </w:r>
          </w:p>
        </w:tc>
        <w:tc>
          <w:tcPr>
            <w:tcW w:w="1513" w:type="dxa"/>
          </w:tcPr>
          <w:p w:rsidR="00D7382A" w:rsidRPr="006C7294" w:rsidRDefault="00D7382A" w:rsidP="003946FC">
            <w:pPr>
              <w:jc w:val="center"/>
              <w:rPr>
                <w:rFonts w:ascii="Arial" w:hAnsi="Arial" w:cs="Arial"/>
              </w:rPr>
            </w:pPr>
            <w:r w:rsidRPr="006C7294">
              <w:rPr>
                <w:rFonts w:ascii="Arial" w:hAnsi="Arial" w:cs="Arial"/>
              </w:rPr>
              <w:t>Yes*</w:t>
            </w:r>
          </w:p>
        </w:tc>
        <w:tc>
          <w:tcPr>
            <w:tcW w:w="1984" w:type="dxa"/>
          </w:tcPr>
          <w:p w:rsidR="00D7382A" w:rsidRPr="006C7294" w:rsidRDefault="00D7382A" w:rsidP="003946FC">
            <w:pPr>
              <w:jc w:val="center"/>
              <w:rPr>
                <w:rFonts w:ascii="Arial" w:hAnsi="Arial" w:cs="Arial"/>
              </w:rPr>
            </w:pPr>
            <w:r w:rsidRPr="006C7294">
              <w:rPr>
                <w:rFonts w:ascii="Arial" w:hAnsi="Arial" w:cs="Arial"/>
              </w:rPr>
              <w:t>Yes*</w:t>
            </w:r>
          </w:p>
        </w:tc>
        <w:tc>
          <w:tcPr>
            <w:tcW w:w="9498" w:type="dxa"/>
          </w:tcPr>
          <w:p w:rsidR="00D7382A" w:rsidRPr="006C7294" w:rsidRDefault="00D7382A" w:rsidP="003946FC">
            <w:pPr>
              <w:pStyle w:val="ListParagraph"/>
              <w:numPr>
                <w:ilvl w:val="0"/>
                <w:numId w:val="10"/>
              </w:numPr>
              <w:rPr>
                <w:rFonts w:ascii="Arial" w:hAnsi="Arial" w:cs="Arial"/>
                <w:b/>
              </w:rPr>
            </w:pPr>
            <w:r w:rsidRPr="006C7294">
              <w:rPr>
                <w:rFonts w:ascii="Arial" w:hAnsi="Arial" w:cs="Arial"/>
              </w:rPr>
              <w:t>*A personal budget may also include individual funding necessary to provide the family of a disabled child with a short break or family support that is not provided in a residential respite unit.</w:t>
            </w:r>
          </w:p>
          <w:p w:rsidR="00D7382A" w:rsidRPr="006C7294" w:rsidRDefault="00D7382A" w:rsidP="00E36B3E">
            <w:pPr>
              <w:rPr>
                <w:rFonts w:ascii="Arial" w:hAnsi="Arial" w:cs="Arial"/>
                <w:b/>
                <w:sz w:val="8"/>
              </w:rPr>
            </w:pPr>
          </w:p>
        </w:tc>
      </w:tr>
      <w:tr w:rsidR="00D7382A" w:rsidRPr="006C7294" w:rsidTr="006C7294">
        <w:tc>
          <w:tcPr>
            <w:tcW w:w="1714" w:type="dxa"/>
          </w:tcPr>
          <w:p w:rsidR="00D7382A" w:rsidRPr="006C7294" w:rsidRDefault="00D7382A" w:rsidP="00E36B3E">
            <w:pPr>
              <w:rPr>
                <w:rFonts w:ascii="Arial" w:hAnsi="Arial" w:cs="Arial"/>
              </w:rPr>
            </w:pPr>
            <w:r w:rsidRPr="006C7294">
              <w:rPr>
                <w:rFonts w:ascii="Arial" w:hAnsi="Arial" w:cs="Arial"/>
              </w:rPr>
              <w:t>Non-residential support</w:t>
            </w:r>
          </w:p>
        </w:tc>
        <w:tc>
          <w:tcPr>
            <w:tcW w:w="1513" w:type="dxa"/>
          </w:tcPr>
          <w:p w:rsidR="00D7382A" w:rsidRPr="006C7294" w:rsidRDefault="00D7382A" w:rsidP="003946FC">
            <w:pPr>
              <w:jc w:val="center"/>
              <w:rPr>
                <w:rFonts w:ascii="Arial" w:hAnsi="Arial" w:cs="Arial"/>
              </w:rPr>
            </w:pPr>
            <w:r w:rsidRPr="006C7294">
              <w:rPr>
                <w:rFonts w:ascii="Arial" w:hAnsi="Arial" w:cs="Arial"/>
              </w:rPr>
              <w:t>Yes</w:t>
            </w:r>
          </w:p>
        </w:tc>
        <w:tc>
          <w:tcPr>
            <w:tcW w:w="1984" w:type="dxa"/>
          </w:tcPr>
          <w:p w:rsidR="00D7382A" w:rsidRPr="006C7294" w:rsidRDefault="00D7382A" w:rsidP="003946FC">
            <w:pPr>
              <w:pStyle w:val="ListParagraph"/>
              <w:ind w:left="0"/>
              <w:jc w:val="center"/>
              <w:rPr>
                <w:rFonts w:ascii="Arial" w:hAnsi="Arial" w:cs="Arial"/>
              </w:rPr>
            </w:pPr>
            <w:r w:rsidRPr="006C7294">
              <w:rPr>
                <w:rFonts w:ascii="Arial" w:hAnsi="Arial" w:cs="Arial"/>
              </w:rPr>
              <w:t>Yes</w:t>
            </w:r>
          </w:p>
        </w:tc>
        <w:tc>
          <w:tcPr>
            <w:tcW w:w="9498" w:type="dxa"/>
          </w:tcPr>
          <w:p w:rsidR="00D7382A" w:rsidRPr="006C7294" w:rsidRDefault="00D7382A" w:rsidP="003946FC">
            <w:pPr>
              <w:pStyle w:val="ListParagraph"/>
              <w:numPr>
                <w:ilvl w:val="0"/>
                <w:numId w:val="9"/>
              </w:numPr>
              <w:rPr>
                <w:rFonts w:ascii="Arial" w:hAnsi="Arial" w:cs="Arial"/>
              </w:rPr>
            </w:pPr>
            <w:r w:rsidRPr="006C7294">
              <w:rPr>
                <w:rFonts w:ascii="Arial" w:hAnsi="Arial" w:cs="Arial"/>
              </w:rPr>
              <w:t xml:space="preserve">Non-residential means that the child does not spend a night in a respite unit away from the family home. </w:t>
            </w:r>
          </w:p>
          <w:p w:rsidR="00D7382A" w:rsidRPr="006C7294" w:rsidRDefault="00D7382A" w:rsidP="003946FC">
            <w:pPr>
              <w:pStyle w:val="ListParagraph"/>
              <w:numPr>
                <w:ilvl w:val="0"/>
                <w:numId w:val="9"/>
              </w:numPr>
              <w:rPr>
                <w:rFonts w:ascii="Arial" w:hAnsi="Arial" w:cs="Arial"/>
                <w:b/>
              </w:rPr>
            </w:pPr>
            <w:r w:rsidRPr="006C7294">
              <w:rPr>
                <w:rFonts w:ascii="Arial" w:hAnsi="Arial" w:cs="Arial"/>
              </w:rPr>
              <w:t>A personal budget may include funding needed to provide any non-residential support to meet the unmet needs identified within an assessment.</w:t>
            </w:r>
          </w:p>
          <w:p w:rsidR="006C7294" w:rsidRPr="006C7294" w:rsidRDefault="006C7294" w:rsidP="006C7294">
            <w:pPr>
              <w:pStyle w:val="ListParagraph"/>
              <w:ind w:left="360"/>
              <w:rPr>
                <w:rFonts w:ascii="Arial" w:hAnsi="Arial" w:cs="Arial"/>
                <w:b/>
                <w:sz w:val="8"/>
              </w:rPr>
            </w:pPr>
          </w:p>
        </w:tc>
      </w:tr>
      <w:tr w:rsidR="00D7382A" w:rsidRPr="006C7294" w:rsidTr="006C7294">
        <w:tc>
          <w:tcPr>
            <w:tcW w:w="1714" w:type="dxa"/>
          </w:tcPr>
          <w:p w:rsidR="00D7382A" w:rsidRPr="006C7294" w:rsidRDefault="00D7382A" w:rsidP="00E36B3E">
            <w:pPr>
              <w:rPr>
                <w:rFonts w:ascii="Arial" w:hAnsi="Arial" w:cs="Arial"/>
              </w:rPr>
            </w:pPr>
            <w:r w:rsidRPr="006C7294">
              <w:rPr>
                <w:rFonts w:ascii="Arial" w:hAnsi="Arial" w:cs="Arial"/>
              </w:rPr>
              <w:t>Residential support</w:t>
            </w:r>
          </w:p>
        </w:tc>
        <w:tc>
          <w:tcPr>
            <w:tcW w:w="1513" w:type="dxa"/>
          </w:tcPr>
          <w:p w:rsidR="00D7382A" w:rsidRPr="006C7294" w:rsidRDefault="00D7382A" w:rsidP="003946FC">
            <w:pPr>
              <w:jc w:val="center"/>
              <w:rPr>
                <w:rFonts w:ascii="Arial" w:hAnsi="Arial" w:cs="Arial"/>
              </w:rPr>
            </w:pPr>
            <w:r w:rsidRPr="006C7294">
              <w:rPr>
                <w:rFonts w:ascii="Arial" w:hAnsi="Arial" w:cs="Arial"/>
              </w:rPr>
              <w:t>Not usually</w:t>
            </w:r>
          </w:p>
        </w:tc>
        <w:tc>
          <w:tcPr>
            <w:tcW w:w="1984" w:type="dxa"/>
          </w:tcPr>
          <w:p w:rsidR="00D7382A" w:rsidRPr="006C7294" w:rsidRDefault="00D7382A" w:rsidP="003946FC">
            <w:pPr>
              <w:jc w:val="center"/>
              <w:rPr>
                <w:rFonts w:ascii="Arial" w:hAnsi="Arial" w:cs="Arial"/>
              </w:rPr>
            </w:pPr>
            <w:r w:rsidRPr="006C7294">
              <w:rPr>
                <w:rFonts w:ascii="Arial" w:hAnsi="Arial" w:cs="Arial"/>
              </w:rPr>
              <w:t>Not usually</w:t>
            </w:r>
          </w:p>
        </w:tc>
        <w:tc>
          <w:tcPr>
            <w:tcW w:w="9498" w:type="dxa"/>
          </w:tcPr>
          <w:p w:rsidR="00D7382A" w:rsidRPr="006C7294" w:rsidRDefault="00D7382A" w:rsidP="003946FC">
            <w:pPr>
              <w:pStyle w:val="ListParagraph"/>
              <w:numPr>
                <w:ilvl w:val="0"/>
                <w:numId w:val="12"/>
              </w:numPr>
              <w:rPr>
                <w:rFonts w:ascii="Arial" w:hAnsi="Arial" w:cs="Arial"/>
              </w:rPr>
            </w:pPr>
            <w:r w:rsidRPr="006C7294">
              <w:rPr>
                <w:rFonts w:ascii="Arial" w:hAnsi="Arial" w:cs="Arial"/>
              </w:rPr>
              <w:t>Residential support is usually allocated differently to overnight short breaks.  The number of nights needed often exceeds the maximum allowed to be able to offer it as a personal budget.</w:t>
            </w:r>
          </w:p>
          <w:p w:rsidR="006C7294" w:rsidRPr="006C7294" w:rsidRDefault="006C7294" w:rsidP="006C7294">
            <w:pPr>
              <w:pStyle w:val="ListParagraph"/>
              <w:ind w:left="360"/>
              <w:rPr>
                <w:rFonts w:ascii="Arial" w:hAnsi="Arial" w:cs="Arial"/>
                <w:sz w:val="8"/>
              </w:rPr>
            </w:pPr>
          </w:p>
        </w:tc>
      </w:tr>
    </w:tbl>
    <w:p w:rsidR="006F5255" w:rsidRDefault="006F5255" w:rsidP="00E36B3E">
      <w:pPr>
        <w:pStyle w:val="ListParagraph"/>
        <w:spacing w:after="0" w:line="240" w:lineRule="auto"/>
        <w:ind w:left="0"/>
        <w:rPr>
          <w:rFonts w:ascii="Arial" w:hAnsi="Arial" w:cs="Arial"/>
        </w:rPr>
      </w:pPr>
    </w:p>
    <w:p w:rsidR="006C7294" w:rsidRPr="006C7294" w:rsidRDefault="006C7294" w:rsidP="00E36B3E">
      <w:pPr>
        <w:pStyle w:val="ListParagraph"/>
        <w:spacing w:after="0" w:line="240" w:lineRule="auto"/>
        <w:ind w:left="0"/>
        <w:rPr>
          <w:rFonts w:ascii="Arial" w:hAnsi="Arial" w:cs="Arial"/>
        </w:rPr>
      </w:pPr>
    </w:p>
    <w:p w:rsidR="00BD2E0A" w:rsidRPr="006C7294" w:rsidRDefault="00BD2E0A" w:rsidP="00E36B3E">
      <w:pPr>
        <w:pStyle w:val="ListParagraph"/>
        <w:numPr>
          <w:ilvl w:val="0"/>
          <w:numId w:val="5"/>
        </w:numPr>
        <w:spacing w:after="0" w:line="240" w:lineRule="auto"/>
        <w:rPr>
          <w:rFonts w:ascii="Arial" w:hAnsi="Arial" w:cs="Arial"/>
          <w:b/>
        </w:rPr>
      </w:pPr>
      <w:r w:rsidRPr="006C7294">
        <w:rPr>
          <w:rFonts w:ascii="Arial" w:hAnsi="Arial" w:cs="Arial"/>
          <w:b/>
        </w:rPr>
        <w:t>Adults</w:t>
      </w:r>
      <w:r w:rsidR="00D7382A" w:rsidRPr="006C7294">
        <w:rPr>
          <w:rFonts w:ascii="Arial" w:hAnsi="Arial" w:cs="Arial"/>
          <w:b/>
        </w:rPr>
        <w:t>’ Social Care (aged over 18 years)</w:t>
      </w:r>
    </w:p>
    <w:p w:rsidR="00E36B3E" w:rsidRPr="006C7294" w:rsidRDefault="00E36B3E" w:rsidP="00E36B3E">
      <w:pPr>
        <w:pStyle w:val="ListParagraph"/>
        <w:spacing w:after="0" w:line="240" w:lineRule="auto"/>
        <w:rPr>
          <w:rFonts w:ascii="Arial" w:hAnsi="Arial" w:cs="Arial"/>
          <w:b/>
          <w:sz w:val="14"/>
        </w:rPr>
      </w:pPr>
    </w:p>
    <w:tbl>
      <w:tblPr>
        <w:tblStyle w:val="TableGrid"/>
        <w:tblW w:w="14709" w:type="dxa"/>
        <w:tblLayout w:type="fixed"/>
        <w:tblLook w:val="04A0" w:firstRow="1" w:lastRow="0" w:firstColumn="1" w:lastColumn="0" w:noHBand="0" w:noVBand="1"/>
      </w:tblPr>
      <w:tblGrid>
        <w:gridCol w:w="1668"/>
        <w:gridCol w:w="1842"/>
        <w:gridCol w:w="2127"/>
        <w:gridCol w:w="9072"/>
      </w:tblGrid>
      <w:tr w:rsidR="00D7382A" w:rsidRPr="006C7294" w:rsidTr="006C7294">
        <w:tc>
          <w:tcPr>
            <w:tcW w:w="1668" w:type="dxa"/>
          </w:tcPr>
          <w:p w:rsidR="00D7382A" w:rsidRPr="006C7294" w:rsidRDefault="00D7382A" w:rsidP="003946FC">
            <w:pPr>
              <w:jc w:val="center"/>
              <w:rPr>
                <w:rFonts w:ascii="Arial" w:hAnsi="Arial" w:cs="Arial"/>
                <w:b/>
              </w:rPr>
            </w:pPr>
            <w:r w:rsidRPr="006C7294">
              <w:rPr>
                <w:rFonts w:ascii="Arial" w:hAnsi="Arial" w:cs="Arial"/>
                <w:b/>
              </w:rPr>
              <w:t>Service or Area</w:t>
            </w:r>
          </w:p>
        </w:tc>
        <w:tc>
          <w:tcPr>
            <w:tcW w:w="1842" w:type="dxa"/>
          </w:tcPr>
          <w:p w:rsidR="00D7382A" w:rsidRPr="006C7294" w:rsidRDefault="00D7382A" w:rsidP="003946FC">
            <w:pPr>
              <w:jc w:val="center"/>
              <w:rPr>
                <w:rFonts w:ascii="Arial" w:hAnsi="Arial" w:cs="Arial"/>
                <w:b/>
              </w:rPr>
            </w:pPr>
            <w:r w:rsidRPr="006C7294">
              <w:rPr>
                <w:rFonts w:ascii="Arial" w:hAnsi="Arial" w:cs="Arial"/>
                <w:b/>
              </w:rPr>
              <w:t>Available as a Personal Budget</w:t>
            </w:r>
          </w:p>
        </w:tc>
        <w:tc>
          <w:tcPr>
            <w:tcW w:w="2127" w:type="dxa"/>
          </w:tcPr>
          <w:p w:rsidR="00D7382A" w:rsidRPr="006C7294" w:rsidRDefault="00D7382A" w:rsidP="003946FC">
            <w:pPr>
              <w:jc w:val="center"/>
              <w:rPr>
                <w:rFonts w:ascii="Arial" w:hAnsi="Arial" w:cs="Arial"/>
                <w:b/>
              </w:rPr>
            </w:pPr>
            <w:r w:rsidRPr="006C7294">
              <w:rPr>
                <w:rFonts w:ascii="Arial" w:hAnsi="Arial" w:cs="Arial"/>
                <w:b/>
              </w:rPr>
              <w:t>Available as a Cash Budget (Direct Payment)</w:t>
            </w:r>
          </w:p>
        </w:tc>
        <w:tc>
          <w:tcPr>
            <w:tcW w:w="9072" w:type="dxa"/>
          </w:tcPr>
          <w:p w:rsidR="00D7382A" w:rsidRPr="006C7294" w:rsidRDefault="00D7382A" w:rsidP="003946FC">
            <w:pPr>
              <w:jc w:val="center"/>
              <w:rPr>
                <w:rFonts w:ascii="Arial" w:hAnsi="Arial" w:cs="Arial"/>
                <w:b/>
              </w:rPr>
            </w:pPr>
            <w:r w:rsidRPr="006C7294">
              <w:rPr>
                <w:rFonts w:ascii="Arial" w:hAnsi="Arial" w:cs="Arial"/>
                <w:b/>
              </w:rPr>
              <w:t>Description or Explanation</w:t>
            </w:r>
          </w:p>
        </w:tc>
      </w:tr>
      <w:tr w:rsidR="00D7382A" w:rsidRPr="006C7294" w:rsidTr="006C7294">
        <w:tc>
          <w:tcPr>
            <w:tcW w:w="1668" w:type="dxa"/>
          </w:tcPr>
          <w:p w:rsidR="00D7382A" w:rsidRPr="006C7294" w:rsidRDefault="00D7382A" w:rsidP="00E36B3E">
            <w:pPr>
              <w:rPr>
                <w:rFonts w:ascii="Arial" w:hAnsi="Arial" w:cs="Arial"/>
              </w:rPr>
            </w:pPr>
            <w:r w:rsidRPr="006C7294">
              <w:rPr>
                <w:rFonts w:ascii="Arial" w:hAnsi="Arial" w:cs="Arial"/>
              </w:rPr>
              <w:t>Non-residential Support</w:t>
            </w:r>
          </w:p>
        </w:tc>
        <w:tc>
          <w:tcPr>
            <w:tcW w:w="1842" w:type="dxa"/>
          </w:tcPr>
          <w:p w:rsidR="00D7382A" w:rsidRPr="006C7294" w:rsidRDefault="00D7382A" w:rsidP="003946FC">
            <w:pPr>
              <w:jc w:val="center"/>
              <w:rPr>
                <w:rFonts w:ascii="Arial" w:hAnsi="Arial" w:cs="Arial"/>
              </w:rPr>
            </w:pPr>
            <w:r w:rsidRPr="006C7294">
              <w:rPr>
                <w:rFonts w:ascii="Arial" w:hAnsi="Arial" w:cs="Arial"/>
              </w:rPr>
              <w:t>Yes</w:t>
            </w:r>
          </w:p>
        </w:tc>
        <w:tc>
          <w:tcPr>
            <w:tcW w:w="2127" w:type="dxa"/>
          </w:tcPr>
          <w:p w:rsidR="00D7382A" w:rsidRPr="006C7294" w:rsidRDefault="00D7382A" w:rsidP="003946FC">
            <w:pPr>
              <w:jc w:val="center"/>
              <w:rPr>
                <w:rFonts w:ascii="Arial" w:hAnsi="Arial" w:cs="Arial"/>
              </w:rPr>
            </w:pPr>
            <w:r w:rsidRPr="006C7294">
              <w:rPr>
                <w:rFonts w:ascii="Arial" w:hAnsi="Arial" w:cs="Arial"/>
              </w:rPr>
              <w:t>Yes</w:t>
            </w:r>
          </w:p>
        </w:tc>
        <w:tc>
          <w:tcPr>
            <w:tcW w:w="9072" w:type="dxa"/>
          </w:tcPr>
          <w:p w:rsidR="00D7382A" w:rsidRPr="006C7294" w:rsidRDefault="00D7382A" w:rsidP="006C7294">
            <w:pPr>
              <w:pStyle w:val="ListParagraph"/>
              <w:numPr>
                <w:ilvl w:val="0"/>
                <w:numId w:val="12"/>
              </w:numPr>
              <w:rPr>
                <w:rFonts w:ascii="Arial" w:hAnsi="Arial" w:cs="Arial"/>
                <w:b/>
              </w:rPr>
            </w:pPr>
            <w:r w:rsidRPr="006C7294">
              <w:rPr>
                <w:rFonts w:ascii="Arial" w:hAnsi="Arial" w:cs="Arial"/>
              </w:rPr>
              <w:t>A personal budget may include funding needed to provide any non-residential support to meet the unmet needs identified within an assessment.</w:t>
            </w:r>
          </w:p>
        </w:tc>
      </w:tr>
      <w:tr w:rsidR="00D7382A" w:rsidRPr="006C7294" w:rsidTr="006C7294">
        <w:tc>
          <w:tcPr>
            <w:tcW w:w="1668" w:type="dxa"/>
          </w:tcPr>
          <w:p w:rsidR="00D7382A" w:rsidRPr="006C7294" w:rsidRDefault="00D7382A" w:rsidP="00E36B3E">
            <w:pPr>
              <w:rPr>
                <w:rFonts w:ascii="Arial" w:hAnsi="Arial" w:cs="Arial"/>
              </w:rPr>
            </w:pPr>
            <w:r w:rsidRPr="006C7294">
              <w:rPr>
                <w:rFonts w:ascii="Arial" w:hAnsi="Arial" w:cs="Arial"/>
              </w:rPr>
              <w:t>Residential Accommodation Provision</w:t>
            </w:r>
          </w:p>
        </w:tc>
        <w:tc>
          <w:tcPr>
            <w:tcW w:w="1842" w:type="dxa"/>
          </w:tcPr>
          <w:p w:rsidR="00D7382A" w:rsidRPr="006C7294" w:rsidRDefault="00D7382A" w:rsidP="003946FC">
            <w:pPr>
              <w:jc w:val="center"/>
              <w:rPr>
                <w:rFonts w:ascii="Arial" w:hAnsi="Arial" w:cs="Arial"/>
              </w:rPr>
            </w:pPr>
            <w:r w:rsidRPr="006C7294">
              <w:rPr>
                <w:rFonts w:ascii="Arial" w:hAnsi="Arial" w:cs="Arial"/>
              </w:rPr>
              <w:t>Yes*</w:t>
            </w:r>
          </w:p>
        </w:tc>
        <w:tc>
          <w:tcPr>
            <w:tcW w:w="2127" w:type="dxa"/>
          </w:tcPr>
          <w:p w:rsidR="00D7382A" w:rsidRPr="006C7294" w:rsidRDefault="00D7382A" w:rsidP="003946FC">
            <w:pPr>
              <w:jc w:val="center"/>
              <w:rPr>
                <w:rFonts w:ascii="Arial" w:hAnsi="Arial" w:cs="Arial"/>
              </w:rPr>
            </w:pPr>
            <w:r w:rsidRPr="006C7294">
              <w:rPr>
                <w:rFonts w:ascii="Arial" w:hAnsi="Arial" w:cs="Arial"/>
              </w:rPr>
              <w:t>No</w:t>
            </w:r>
          </w:p>
        </w:tc>
        <w:tc>
          <w:tcPr>
            <w:tcW w:w="9072" w:type="dxa"/>
          </w:tcPr>
          <w:p w:rsidR="00D7382A" w:rsidRPr="006C7294" w:rsidRDefault="00D7382A" w:rsidP="006C7294">
            <w:pPr>
              <w:pStyle w:val="ListParagraph"/>
              <w:numPr>
                <w:ilvl w:val="0"/>
                <w:numId w:val="12"/>
              </w:numPr>
              <w:rPr>
                <w:rFonts w:ascii="Arial" w:hAnsi="Arial" w:cs="Arial"/>
                <w:b/>
              </w:rPr>
            </w:pPr>
            <w:r w:rsidRPr="006C7294">
              <w:rPr>
                <w:rFonts w:ascii="Arial" w:hAnsi="Arial" w:cs="Arial"/>
                <w:lang w:val="en-US"/>
              </w:rPr>
              <w:t>A cash budget (direct payment) currently cannot be provided in adults’ social care for residential accommodation provision</w:t>
            </w:r>
            <w:r w:rsidRPr="006C7294">
              <w:rPr>
                <w:rFonts w:ascii="Arial" w:hAnsi="Arial" w:cs="Arial"/>
                <w:b/>
              </w:rPr>
              <w:t xml:space="preserve"> </w:t>
            </w:r>
          </w:p>
        </w:tc>
      </w:tr>
    </w:tbl>
    <w:p w:rsidR="00D7382A" w:rsidRPr="006C7294" w:rsidRDefault="00D7382A" w:rsidP="00E36B3E">
      <w:pPr>
        <w:spacing w:after="0" w:line="240" w:lineRule="auto"/>
        <w:rPr>
          <w:rFonts w:ascii="Arial" w:hAnsi="Arial" w:cs="Arial"/>
          <w:lang w:val="en-US"/>
        </w:rPr>
      </w:pPr>
    </w:p>
    <w:p w:rsidR="00BD2E0A" w:rsidRPr="006C7294" w:rsidRDefault="00D7382A" w:rsidP="00E36B3E">
      <w:pPr>
        <w:spacing w:after="0" w:line="240" w:lineRule="auto"/>
        <w:rPr>
          <w:rFonts w:ascii="Arial" w:hAnsi="Arial" w:cs="Arial"/>
          <w:lang w:val="en-US"/>
        </w:rPr>
      </w:pPr>
      <w:r w:rsidRPr="006C7294">
        <w:rPr>
          <w:rFonts w:ascii="Arial" w:hAnsi="Arial" w:cs="Arial"/>
          <w:b/>
          <w:lang w:val="en-US"/>
        </w:rPr>
        <w:t>Please note:</w:t>
      </w:r>
      <w:r w:rsidR="006C7294">
        <w:rPr>
          <w:rFonts w:ascii="Arial" w:hAnsi="Arial" w:cs="Arial"/>
          <w:b/>
          <w:lang w:val="en-US"/>
        </w:rPr>
        <w:t xml:space="preserve"> </w:t>
      </w:r>
      <w:r w:rsidRPr="006C7294">
        <w:rPr>
          <w:rFonts w:ascii="Arial" w:hAnsi="Arial" w:cs="Arial"/>
          <w:lang w:val="en-US"/>
        </w:rPr>
        <w:t xml:space="preserve">A cash budget (direct payment) currently cannot be provided in adults’ social care for </w:t>
      </w:r>
      <w:r w:rsidR="00BD2E0A" w:rsidRPr="006C7294">
        <w:rPr>
          <w:rFonts w:ascii="Arial" w:hAnsi="Arial" w:cs="Arial"/>
          <w:lang w:val="en-US"/>
        </w:rPr>
        <w:t>those in Prison.</w:t>
      </w:r>
    </w:p>
    <w:p w:rsidR="00BD2E0A" w:rsidRPr="006C7294" w:rsidRDefault="00BD2E0A" w:rsidP="00E36B3E">
      <w:pPr>
        <w:pStyle w:val="ListParagraph"/>
        <w:numPr>
          <w:ilvl w:val="0"/>
          <w:numId w:val="5"/>
        </w:numPr>
        <w:spacing w:after="0" w:line="240" w:lineRule="auto"/>
        <w:rPr>
          <w:rFonts w:ascii="Arial" w:hAnsi="Arial" w:cs="Arial"/>
          <w:b/>
        </w:rPr>
      </w:pPr>
      <w:r w:rsidRPr="006C7294">
        <w:rPr>
          <w:rFonts w:ascii="Arial" w:hAnsi="Arial" w:cs="Arial"/>
          <w:b/>
        </w:rPr>
        <w:lastRenderedPageBreak/>
        <w:t>Health</w:t>
      </w:r>
    </w:p>
    <w:p w:rsidR="00E36B3E" w:rsidRPr="006C7294" w:rsidRDefault="00E36B3E" w:rsidP="00E36B3E">
      <w:pPr>
        <w:pStyle w:val="ListParagraph"/>
        <w:spacing w:after="0" w:line="240" w:lineRule="auto"/>
        <w:rPr>
          <w:rFonts w:ascii="Arial" w:hAnsi="Arial" w:cs="Arial"/>
          <w:b/>
        </w:rPr>
      </w:pPr>
    </w:p>
    <w:tbl>
      <w:tblPr>
        <w:tblStyle w:val="TableGrid"/>
        <w:tblW w:w="14189" w:type="dxa"/>
        <w:tblLook w:val="04A0" w:firstRow="1" w:lastRow="0" w:firstColumn="1" w:lastColumn="0" w:noHBand="0" w:noVBand="1"/>
      </w:tblPr>
      <w:tblGrid>
        <w:gridCol w:w="1937"/>
        <w:gridCol w:w="1817"/>
        <w:gridCol w:w="2109"/>
        <w:gridCol w:w="8326"/>
      </w:tblGrid>
      <w:tr w:rsidR="00403EB7" w:rsidRPr="006C7294" w:rsidTr="00403EB7">
        <w:tc>
          <w:tcPr>
            <w:tcW w:w="1937" w:type="dxa"/>
          </w:tcPr>
          <w:p w:rsidR="00403EB7" w:rsidRPr="006C7294" w:rsidRDefault="00403EB7" w:rsidP="003946FC">
            <w:pPr>
              <w:jc w:val="center"/>
              <w:rPr>
                <w:rFonts w:ascii="Arial" w:hAnsi="Arial" w:cs="Arial"/>
                <w:b/>
              </w:rPr>
            </w:pPr>
            <w:r w:rsidRPr="006C7294">
              <w:rPr>
                <w:rFonts w:ascii="Arial" w:hAnsi="Arial" w:cs="Arial"/>
                <w:b/>
              </w:rPr>
              <w:t>Service or Area</w:t>
            </w:r>
          </w:p>
        </w:tc>
        <w:tc>
          <w:tcPr>
            <w:tcW w:w="1817" w:type="dxa"/>
          </w:tcPr>
          <w:p w:rsidR="00403EB7" w:rsidRPr="006C7294" w:rsidRDefault="00403EB7" w:rsidP="003946FC">
            <w:pPr>
              <w:jc w:val="center"/>
              <w:rPr>
                <w:rFonts w:ascii="Arial" w:hAnsi="Arial" w:cs="Arial"/>
                <w:b/>
              </w:rPr>
            </w:pPr>
            <w:r w:rsidRPr="006C7294">
              <w:rPr>
                <w:rFonts w:ascii="Arial" w:hAnsi="Arial" w:cs="Arial"/>
                <w:b/>
              </w:rPr>
              <w:t xml:space="preserve">Available as a Personal </w:t>
            </w:r>
            <w:r w:rsidR="003946FC" w:rsidRPr="006C7294">
              <w:rPr>
                <w:rFonts w:ascii="Arial" w:hAnsi="Arial" w:cs="Arial"/>
                <w:b/>
              </w:rPr>
              <w:t xml:space="preserve">Health </w:t>
            </w:r>
            <w:r w:rsidRPr="006C7294">
              <w:rPr>
                <w:rFonts w:ascii="Arial" w:hAnsi="Arial" w:cs="Arial"/>
                <w:b/>
              </w:rPr>
              <w:t>Budget</w:t>
            </w:r>
          </w:p>
        </w:tc>
        <w:tc>
          <w:tcPr>
            <w:tcW w:w="2109" w:type="dxa"/>
          </w:tcPr>
          <w:p w:rsidR="00403EB7" w:rsidRPr="006C7294" w:rsidRDefault="00403EB7" w:rsidP="003946FC">
            <w:pPr>
              <w:jc w:val="center"/>
              <w:rPr>
                <w:rFonts w:ascii="Arial" w:hAnsi="Arial" w:cs="Arial"/>
                <w:b/>
              </w:rPr>
            </w:pPr>
            <w:r w:rsidRPr="006C7294">
              <w:rPr>
                <w:rFonts w:ascii="Arial" w:hAnsi="Arial" w:cs="Arial"/>
                <w:b/>
              </w:rPr>
              <w:t>Available as a Cash Budget (Direct Payment)</w:t>
            </w:r>
          </w:p>
        </w:tc>
        <w:tc>
          <w:tcPr>
            <w:tcW w:w="8326" w:type="dxa"/>
          </w:tcPr>
          <w:p w:rsidR="00403EB7" w:rsidRPr="006C7294" w:rsidRDefault="00403EB7" w:rsidP="003946FC">
            <w:pPr>
              <w:jc w:val="center"/>
              <w:rPr>
                <w:rFonts w:ascii="Arial" w:hAnsi="Arial" w:cs="Arial"/>
                <w:b/>
              </w:rPr>
            </w:pPr>
            <w:r w:rsidRPr="006C7294">
              <w:rPr>
                <w:rFonts w:ascii="Arial" w:hAnsi="Arial" w:cs="Arial"/>
                <w:b/>
              </w:rPr>
              <w:t>Description or Explanation</w:t>
            </w:r>
          </w:p>
        </w:tc>
      </w:tr>
      <w:tr w:rsidR="00403EB7" w:rsidRPr="006C7294" w:rsidTr="00403EB7">
        <w:tc>
          <w:tcPr>
            <w:tcW w:w="1937" w:type="dxa"/>
          </w:tcPr>
          <w:p w:rsidR="00403EB7" w:rsidRPr="006C7294" w:rsidRDefault="00403EB7" w:rsidP="00E36B3E">
            <w:pPr>
              <w:rPr>
                <w:rFonts w:ascii="Arial" w:hAnsi="Arial" w:cs="Arial"/>
              </w:rPr>
            </w:pPr>
            <w:r w:rsidRPr="006C7294">
              <w:rPr>
                <w:rFonts w:ascii="Arial" w:hAnsi="Arial" w:cs="Arial"/>
              </w:rPr>
              <w:t>Continuing Care Package</w:t>
            </w:r>
          </w:p>
        </w:tc>
        <w:tc>
          <w:tcPr>
            <w:tcW w:w="1817" w:type="dxa"/>
          </w:tcPr>
          <w:p w:rsidR="00403EB7" w:rsidRPr="006C7294" w:rsidRDefault="00403EB7" w:rsidP="003946FC">
            <w:pPr>
              <w:jc w:val="center"/>
              <w:rPr>
                <w:rFonts w:ascii="Arial" w:hAnsi="Arial" w:cs="Arial"/>
              </w:rPr>
            </w:pPr>
            <w:r w:rsidRPr="006C7294">
              <w:rPr>
                <w:rFonts w:ascii="Arial" w:hAnsi="Arial" w:cs="Arial"/>
              </w:rPr>
              <w:t>Yes</w:t>
            </w:r>
          </w:p>
        </w:tc>
        <w:tc>
          <w:tcPr>
            <w:tcW w:w="2109" w:type="dxa"/>
          </w:tcPr>
          <w:p w:rsidR="00403EB7" w:rsidRPr="006C7294" w:rsidRDefault="00403EB7" w:rsidP="003946FC">
            <w:pPr>
              <w:jc w:val="center"/>
              <w:rPr>
                <w:rFonts w:ascii="Arial" w:hAnsi="Arial" w:cs="Arial"/>
              </w:rPr>
            </w:pPr>
            <w:r w:rsidRPr="006C7294">
              <w:rPr>
                <w:rFonts w:ascii="Arial" w:hAnsi="Arial" w:cs="Arial"/>
              </w:rPr>
              <w:t>Yes</w:t>
            </w:r>
          </w:p>
        </w:tc>
        <w:tc>
          <w:tcPr>
            <w:tcW w:w="8326" w:type="dxa"/>
          </w:tcPr>
          <w:p w:rsidR="00403EB7" w:rsidRPr="006C7294" w:rsidRDefault="00403EB7" w:rsidP="006C7294">
            <w:pPr>
              <w:pStyle w:val="ListParagraph"/>
              <w:numPr>
                <w:ilvl w:val="0"/>
                <w:numId w:val="12"/>
              </w:numPr>
              <w:rPr>
                <w:rFonts w:ascii="Arial" w:hAnsi="Arial" w:cs="Arial"/>
                <w:b/>
              </w:rPr>
            </w:pPr>
            <w:r w:rsidRPr="006C7294">
              <w:rPr>
                <w:rFonts w:ascii="Arial" w:hAnsi="Arial" w:cs="Arial"/>
              </w:rPr>
              <w:t xml:space="preserve">In principle, the amount of money that would have normally been spent on NHS services as part of a child or young person’s Continuing Care package (except those services excluded as outlined in </w:t>
            </w:r>
            <w:hyperlink r:id="rId8" w:history="1">
              <w:r w:rsidRPr="006C7294">
                <w:rPr>
                  <w:rStyle w:val="Hyperlink"/>
                  <w:rFonts w:ascii="Arial" w:hAnsi="Arial" w:cs="Arial"/>
                </w:rPr>
                <w:t>regulations</w:t>
              </w:r>
            </w:hyperlink>
            <w:r w:rsidRPr="006C7294">
              <w:rPr>
                <w:rFonts w:ascii="Arial" w:hAnsi="Arial" w:cs="Arial"/>
                <w:i/>
              </w:rPr>
              <w:t xml:space="preserve">) </w:t>
            </w:r>
            <w:r w:rsidRPr="006C7294">
              <w:rPr>
                <w:rFonts w:ascii="Arial" w:hAnsi="Arial" w:cs="Arial"/>
              </w:rPr>
              <w:t>could be available to us</w:t>
            </w:r>
            <w:r w:rsidR="006C7294" w:rsidRPr="006C7294">
              <w:rPr>
                <w:rFonts w:ascii="Arial" w:hAnsi="Arial" w:cs="Arial"/>
              </w:rPr>
              <w:t>e as a personal health budget (PHB).</w:t>
            </w:r>
          </w:p>
          <w:p w:rsidR="006C7294" w:rsidRPr="006C7294" w:rsidRDefault="006C7294" w:rsidP="006C7294">
            <w:pPr>
              <w:pStyle w:val="ListParagraph"/>
              <w:ind w:left="360"/>
              <w:rPr>
                <w:rFonts w:ascii="Arial" w:hAnsi="Arial" w:cs="Arial"/>
                <w:b/>
              </w:rPr>
            </w:pPr>
          </w:p>
        </w:tc>
      </w:tr>
      <w:tr w:rsidR="003946FC" w:rsidRPr="006C7294" w:rsidTr="003946FC">
        <w:tc>
          <w:tcPr>
            <w:tcW w:w="1937" w:type="dxa"/>
          </w:tcPr>
          <w:p w:rsidR="003946FC" w:rsidRPr="006C7294" w:rsidRDefault="003946FC" w:rsidP="00A426BB">
            <w:pPr>
              <w:rPr>
                <w:rFonts w:ascii="Arial" w:hAnsi="Arial" w:cs="Arial"/>
              </w:rPr>
            </w:pPr>
            <w:r w:rsidRPr="006C7294">
              <w:rPr>
                <w:rFonts w:ascii="Arial" w:hAnsi="Arial" w:cs="Arial"/>
              </w:rPr>
              <w:t>Community Support</w:t>
            </w:r>
          </w:p>
        </w:tc>
        <w:tc>
          <w:tcPr>
            <w:tcW w:w="1817" w:type="dxa"/>
          </w:tcPr>
          <w:p w:rsidR="006C7294" w:rsidRPr="006C7294" w:rsidRDefault="006C7294" w:rsidP="006C7294">
            <w:pPr>
              <w:jc w:val="center"/>
              <w:rPr>
                <w:rFonts w:ascii="Arial" w:hAnsi="Arial" w:cs="Arial"/>
              </w:rPr>
            </w:pPr>
            <w:r w:rsidRPr="006C7294">
              <w:rPr>
                <w:rFonts w:ascii="Arial" w:hAnsi="Arial" w:cs="Arial"/>
              </w:rPr>
              <w:t>Possibly*</w:t>
            </w:r>
          </w:p>
          <w:p w:rsidR="003946FC" w:rsidRPr="006C7294" w:rsidRDefault="006C7294" w:rsidP="006C7294">
            <w:pPr>
              <w:jc w:val="center"/>
              <w:rPr>
                <w:rFonts w:ascii="Arial" w:hAnsi="Arial" w:cs="Arial"/>
              </w:rPr>
            </w:pPr>
            <w:r w:rsidRPr="006C7294">
              <w:rPr>
                <w:rFonts w:ascii="Arial" w:hAnsi="Arial" w:cs="Arial"/>
              </w:rPr>
              <w:t>For those with an Education, Health and Care (EHC)  Plan</w:t>
            </w:r>
          </w:p>
        </w:tc>
        <w:tc>
          <w:tcPr>
            <w:tcW w:w="2109" w:type="dxa"/>
          </w:tcPr>
          <w:p w:rsidR="006C7294" w:rsidRPr="006C7294" w:rsidRDefault="006C7294" w:rsidP="006C7294">
            <w:pPr>
              <w:jc w:val="center"/>
              <w:rPr>
                <w:rFonts w:ascii="Arial" w:hAnsi="Arial" w:cs="Arial"/>
              </w:rPr>
            </w:pPr>
            <w:r w:rsidRPr="006C7294">
              <w:rPr>
                <w:rFonts w:ascii="Arial" w:hAnsi="Arial" w:cs="Arial"/>
              </w:rPr>
              <w:t>Possibly*</w:t>
            </w:r>
          </w:p>
          <w:p w:rsidR="003946FC" w:rsidRPr="006C7294" w:rsidRDefault="003946FC" w:rsidP="00A426BB">
            <w:pPr>
              <w:jc w:val="center"/>
              <w:rPr>
                <w:rFonts w:ascii="Arial" w:hAnsi="Arial" w:cs="Arial"/>
              </w:rPr>
            </w:pPr>
          </w:p>
        </w:tc>
        <w:tc>
          <w:tcPr>
            <w:tcW w:w="8326" w:type="dxa"/>
          </w:tcPr>
          <w:p w:rsidR="006C7294" w:rsidRPr="006C7294" w:rsidRDefault="006C7294" w:rsidP="006C7294">
            <w:pPr>
              <w:pStyle w:val="Default"/>
              <w:numPr>
                <w:ilvl w:val="0"/>
                <w:numId w:val="12"/>
              </w:numPr>
              <w:rPr>
                <w:rFonts w:ascii="Arial" w:hAnsi="Arial" w:cs="Arial"/>
                <w:sz w:val="22"/>
                <w:szCs w:val="22"/>
              </w:rPr>
            </w:pPr>
            <w:r w:rsidRPr="006C7294">
              <w:rPr>
                <w:rFonts w:ascii="Arial" w:hAnsi="Arial" w:cs="Arial"/>
                <w:sz w:val="22"/>
                <w:szCs w:val="22"/>
              </w:rPr>
              <w:t xml:space="preserve">*Children with an Education, Health &amp; Care Plan can already request a PHB. Wakefield Clinical Commissioning Group (CCG) is making a commitment that any requests will be considered on a case by case basis against the CCG policy and where there is a significant benefit of a PHB over commissioned services. </w:t>
            </w:r>
          </w:p>
          <w:p w:rsidR="003946FC" w:rsidRPr="006C7294" w:rsidRDefault="003946FC" w:rsidP="003946FC">
            <w:pPr>
              <w:rPr>
                <w:rFonts w:ascii="Arial" w:hAnsi="Arial" w:cs="Arial"/>
                <w:b/>
              </w:rPr>
            </w:pPr>
          </w:p>
        </w:tc>
      </w:tr>
    </w:tbl>
    <w:p w:rsidR="00BD2E0A" w:rsidRPr="006C7294" w:rsidRDefault="00BD2E0A" w:rsidP="00E36B3E">
      <w:pPr>
        <w:spacing w:after="0" w:line="240" w:lineRule="auto"/>
        <w:rPr>
          <w:rFonts w:ascii="Arial" w:hAnsi="Arial" w:cs="Arial"/>
        </w:rPr>
      </w:pPr>
    </w:p>
    <w:p w:rsidR="00BD2E0A" w:rsidRPr="006C7294" w:rsidRDefault="006C7294" w:rsidP="00E36B3E">
      <w:pPr>
        <w:spacing w:after="0" w:line="240" w:lineRule="auto"/>
        <w:rPr>
          <w:rFonts w:ascii="Arial" w:hAnsi="Arial" w:cs="Arial"/>
        </w:rPr>
      </w:pPr>
      <w:r w:rsidRPr="006C7294">
        <w:rPr>
          <w:rFonts w:ascii="Arial" w:hAnsi="Arial" w:cs="Arial"/>
        </w:rPr>
        <w:t>In order to improve the lives of children with special educational needs, the planning guidance is clear that CCGs are also expected to continue to work alongside Local Authorities and schools on the implementation of integrated education, health and care plans, and to expand the offer of Personal Health Budgets beyond continuing care, to Learning Disabilities and to children with significant health needs, in line with the Children and Families Act 2014 and the Bubb Report, 2015.</w:t>
      </w:r>
    </w:p>
    <w:p w:rsidR="006C7294" w:rsidRPr="006C7294" w:rsidRDefault="006C7294" w:rsidP="00E36B3E">
      <w:pPr>
        <w:spacing w:after="0" w:line="240" w:lineRule="auto"/>
        <w:rPr>
          <w:rFonts w:ascii="Arial" w:hAnsi="Arial" w:cs="Arial"/>
        </w:rPr>
      </w:pPr>
    </w:p>
    <w:p w:rsidR="006C7294" w:rsidRPr="006C7294" w:rsidRDefault="006C7294" w:rsidP="00E36B3E">
      <w:pPr>
        <w:spacing w:after="0" w:line="240" w:lineRule="auto"/>
        <w:rPr>
          <w:rFonts w:ascii="Arial" w:hAnsi="Arial" w:cs="Arial"/>
          <w:bCs/>
          <w:color w:val="000000"/>
        </w:rPr>
      </w:pPr>
      <w:r w:rsidRPr="006C7294">
        <w:rPr>
          <w:rFonts w:ascii="Arial" w:hAnsi="Arial" w:cs="Arial"/>
        </w:rPr>
        <w:t xml:space="preserve">For more information, please click </w:t>
      </w:r>
      <w:hyperlink r:id="rId9" w:history="1">
        <w:r w:rsidRPr="006C7294">
          <w:rPr>
            <w:rStyle w:val="Hyperlink"/>
            <w:rFonts w:ascii="Arial" w:hAnsi="Arial" w:cs="Arial"/>
          </w:rPr>
          <w:t>he</w:t>
        </w:r>
        <w:bookmarkStart w:id="0" w:name="_GoBack"/>
        <w:bookmarkEnd w:id="0"/>
        <w:r w:rsidRPr="006C7294">
          <w:rPr>
            <w:rStyle w:val="Hyperlink"/>
            <w:rFonts w:ascii="Arial" w:hAnsi="Arial" w:cs="Arial"/>
          </w:rPr>
          <w:t>r</w:t>
        </w:r>
        <w:r w:rsidRPr="006C7294">
          <w:rPr>
            <w:rStyle w:val="Hyperlink"/>
            <w:rFonts w:ascii="Arial" w:hAnsi="Arial" w:cs="Arial"/>
          </w:rPr>
          <w:t>e</w:t>
        </w:r>
      </w:hyperlink>
      <w:r w:rsidRPr="006C7294">
        <w:rPr>
          <w:rFonts w:ascii="Arial" w:hAnsi="Arial" w:cs="Arial"/>
        </w:rPr>
        <w:t xml:space="preserve"> for Wakefield CCG’s Personal Health Budget Local Offer </w:t>
      </w:r>
    </w:p>
    <w:sectPr w:rsidR="006C7294" w:rsidRPr="006C7294" w:rsidSect="006C7294">
      <w:footerReference w:type="default" r:id="rId1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94" w:rsidRDefault="006C7294">
      <w:pPr>
        <w:spacing w:after="0" w:line="240" w:lineRule="auto"/>
      </w:pPr>
      <w:r>
        <w:separator/>
      </w:r>
    </w:p>
  </w:endnote>
  <w:endnote w:type="continuationSeparator" w:id="0">
    <w:p w:rsidR="00BC5A94" w:rsidRDefault="006C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92806"/>
      <w:docPartObj>
        <w:docPartGallery w:val="Page Numbers (Bottom of Page)"/>
        <w:docPartUnique/>
      </w:docPartObj>
    </w:sdtPr>
    <w:sdtEndPr>
      <w:rPr>
        <w:noProof/>
      </w:rPr>
    </w:sdtEndPr>
    <w:sdtContent>
      <w:p w:rsidR="007E160A" w:rsidRDefault="00E36B3E">
        <w:pPr>
          <w:pStyle w:val="Footer"/>
          <w:jc w:val="center"/>
        </w:pPr>
        <w:r>
          <w:fldChar w:fldCharType="begin"/>
        </w:r>
        <w:r>
          <w:instrText xml:space="preserve"> PAGE   \* MERGEFORMAT </w:instrText>
        </w:r>
        <w:r>
          <w:fldChar w:fldCharType="separate"/>
        </w:r>
        <w:r w:rsidR="00962BBD">
          <w:rPr>
            <w:noProof/>
          </w:rPr>
          <w:t>1</w:t>
        </w:r>
        <w:r>
          <w:rPr>
            <w:noProof/>
          </w:rPr>
          <w:fldChar w:fldCharType="end"/>
        </w:r>
      </w:p>
    </w:sdtContent>
  </w:sdt>
  <w:p w:rsidR="007E160A" w:rsidRDefault="00962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94" w:rsidRDefault="006C7294">
      <w:pPr>
        <w:spacing w:after="0" w:line="240" w:lineRule="auto"/>
      </w:pPr>
      <w:r>
        <w:separator/>
      </w:r>
    </w:p>
  </w:footnote>
  <w:footnote w:type="continuationSeparator" w:id="0">
    <w:p w:rsidR="00BC5A94" w:rsidRDefault="006C7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7B7"/>
    <w:multiLevelType w:val="hybridMultilevel"/>
    <w:tmpl w:val="CCFC8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C73DE8"/>
    <w:multiLevelType w:val="hybridMultilevel"/>
    <w:tmpl w:val="7F148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F5401B"/>
    <w:multiLevelType w:val="hybridMultilevel"/>
    <w:tmpl w:val="93B4CB90"/>
    <w:lvl w:ilvl="0" w:tplc="6AE6831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41E23"/>
    <w:multiLevelType w:val="hybridMultilevel"/>
    <w:tmpl w:val="D06A3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DA0577"/>
    <w:multiLevelType w:val="hybridMultilevel"/>
    <w:tmpl w:val="958CA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54143A1"/>
    <w:multiLevelType w:val="hybridMultilevel"/>
    <w:tmpl w:val="8D6E3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2225CA"/>
    <w:multiLevelType w:val="hybridMultilevel"/>
    <w:tmpl w:val="1CF43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D932A0"/>
    <w:multiLevelType w:val="multilevel"/>
    <w:tmpl w:val="E7DED1E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0F17924"/>
    <w:multiLevelType w:val="hybridMultilevel"/>
    <w:tmpl w:val="3AD8E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E974C0"/>
    <w:multiLevelType w:val="hybridMultilevel"/>
    <w:tmpl w:val="4140A96A"/>
    <w:lvl w:ilvl="0" w:tplc="6240A324">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9A394C"/>
    <w:multiLevelType w:val="hybridMultilevel"/>
    <w:tmpl w:val="BE58E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B96F68"/>
    <w:multiLevelType w:val="hybridMultilevel"/>
    <w:tmpl w:val="81E25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9"/>
  </w:num>
  <w:num w:numId="5">
    <w:abstractNumId w:val="6"/>
  </w:num>
  <w:num w:numId="6">
    <w:abstractNumId w:val="3"/>
  </w:num>
  <w:num w:numId="7">
    <w:abstractNumId w:val="8"/>
  </w:num>
  <w:num w:numId="8">
    <w:abstractNumId w:val="0"/>
  </w:num>
  <w:num w:numId="9">
    <w:abstractNumId w:val="11"/>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0A"/>
    <w:rsid w:val="001729FD"/>
    <w:rsid w:val="003946FC"/>
    <w:rsid w:val="00403EB7"/>
    <w:rsid w:val="006C7294"/>
    <w:rsid w:val="006F5255"/>
    <w:rsid w:val="00962BBD"/>
    <w:rsid w:val="00A078CD"/>
    <w:rsid w:val="00B8797D"/>
    <w:rsid w:val="00BC5A94"/>
    <w:rsid w:val="00BD2E0A"/>
    <w:rsid w:val="00D7382A"/>
    <w:rsid w:val="00E36B3E"/>
    <w:rsid w:val="00EA0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E0A"/>
    <w:pPr>
      <w:ind w:left="720"/>
      <w:contextualSpacing/>
    </w:pPr>
  </w:style>
  <w:style w:type="paragraph" w:styleId="Footer">
    <w:name w:val="footer"/>
    <w:basedOn w:val="Normal"/>
    <w:link w:val="FooterChar"/>
    <w:uiPriority w:val="99"/>
    <w:unhideWhenUsed/>
    <w:rsid w:val="00BD2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E0A"/>
  </w:style>
  <w:style w:type="table" w:styleId="TableGrid">
    <w:name w:val="Table Grid"/>
    <w:basedOn w:val="TableNormal"/>
    <w:uiPriority w:val="59"/>
    <w:rsid w:val="00BD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46FC"/>
    <w:rPr>
      <w:color w:val="0000FF" w:themeColor="hyperlink"/>
      <w:u w:val="single"/>
    </w:rPr>
  </w:style>
  <w:style w:type="paragraph" w:customStyle="1" w:styleId="Default">
    <w:name w:val="Default"/>
    <w:rsid w:val="006C729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62B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E0A"/>
    <w:pPr>
      <w:ind w:left="720"/>
      <w:contextualSpacing/>
    </w:pPr>
  </w:style>
  <w:style w:type="paragraph" w:styleId="Footer">
    <w:name w:val="footer"/>
    <w:basedOn w:val="Normal"/>
    <w:link w:val="FooterChar"/>
    <w:uiPriority w:val="99"/>
    <w:unhideWhenUsed/>
    <w:rsid w:val="00BD2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E0A"/>
  </w:style>
  <w:style w:type="table" w:styleId="TableGrid">
    <w:name w:val="Table Grid"/>
    <w:basedOn w:val="TableNormal"/>
    <w:uiPriority w:val="59"/>
    <w:rsid w:val="00BD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46FC"/>
    <w:rPr>
      <w:color w:val="0000FF" w:themeColor="hyperlink"/>
      <w:u w:val="single"/>
    </w:rPr>
  </w:style>
  <w:style w:type="paragraph" w:customStyle="1" w:styleId="Default">
    <w:name w:val="Default"/>
    <w:rsid w:val="006C729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62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alhealthbudgets.england.nhs.uk/_library/Resources/Personalhealthbudgets/2014/Guidance_on_Direct_Payments_for_Healthcare_Understanding_the_Regulations_March_2014.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akefieldccg.nhs.uk/home/patient-in-wakefield/local-services/your-health-your-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Kim</dc:creator>
  <cp:lastModifiedBy>Amanda Jubb</cp:lastModifiedBy>
  <cp:revision>5</cp:revision>
  <dcterms:created xsi:type="dcterms:W3CDTF">2016-09-23T13:02:00Z</dcterms:created>
  <dcterms:modified xsi:type="dcterms:W3CDTF">2017-05-10T08:32:00Z</dcterms:modified>
</cp:coreProperties>
</file>